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9" w:rsidRPr="00634037" w:rsidRDefault="002A038D" w:rsidP="00634037">
      <w:pPr>
        <w:pStyle w:val="Overskrift1"/>
        <w:spacing w:after="240"/>
        <w:rPr>
          <w:color w:val="auto"/>
        </w:rPr>
      </w:pPr>
      <w:bookmarkStart w:id="0" w:name="_GoBack"/>
      <w:bookmarkEnd w:id="0"/>
      <w:r w:rsidRPr="00634037">
        <w:rPr>
          <w:color w:val="auto"/>
        </w:rPr>
        <w:t xml:space="preserve">Høringsskjema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34037" w:rsidRPr="00634037" w:rsidTr="00634037">
        <w:tc>
          <w:tcPr>
            <w:tcW w:w="9212" w:type="dxa"/>
            <w:gridSpan w:val="2"/>
            <w:shd w:val="clear" w:color="auto" w:fill="C6D9F1" w:themeFill="text2" w:themeFillTint="33"/>
          </w:tcPr>
          <w:p w:rsidR="00455BA9" w:rsidRPr="00634037" w:rsidRDefault="00634037" w:rsidP="00A53E91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634037">
              <w:rPr>
                <w:color w:val="auto"/>
              </w:rPr>
              <w:t>Regional retningslinje for diagnostisk utredning av barn og unge ved spørsmål om utviklingshemming</w:t>
            </w:r>
          </w:p>
        </w:tc>
      </w:tr>
      <w:tr w:rsidR="00634037" w:rsidRPr="00634037" w:rsidTr="00634037">
        <w:tc>
          <w:tcPr>
            <w:tcW w:w="2943" w:type="dxa"/>
            <w:shd w:val="clear" w:color="auto" w:fill="C6D9F1" w:themeFill="text2" w:themeFillTint="33"/>
          </w:tcPr>
          <w:p w:rsidR="00455BA9" w:rsidRPr="00634037" w:rsidRDefault="00455BA9" w:rsidP="00CF528C">
            <w:pPr>
              <w:pStyle w:val="Overskrift3"/>
              <w:outlineLvl w:val="2"/>
              <w:rPr>
                <w:color w:val="auto"/>
              </w:rPr>
            </w:pPr>
            <w:r w:rsidRPr="00634037">
              <w:rPr>
                <w:color w:val="auto"/>
              </w:rPr>
              <w:t>Høringssvaret er sendt fra:</w:t>
            </w:r>
          </w:p>
        </w:tc>
        <w:tc>
          <w:tcPr>
            <w:tcW w:w="6269" w:type="dxa"/>
          </w:tcPr>
          <w:p w:rsidR="00455BA9" w:rsidRPr="00634037" w:rsidRDefault="00455BA9" w:rsidP="002A038D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:rsidR="00455BA9" w:rsidRPr="00634037" w:rsidRDefault="00455BA9" w:rsidP="002A038D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</w:tbl>
    <w:p w:rsidR="00455BA9" w:rsidRDefault="00455BA9" w:rsidP="0029007F">
      <w:pPr>
        <w:spacing w:after="0" w:line="240" w:lineRule="auto"/>
      </w:pPr>
    </w:p>
    <w:p w:rsidR="00530B8C" w:rsidRPr="00530B8C" w:rsidRDefault="00530B8C" w:rsidP="0029007F">
      <w:pPr>
        <w:spacing w:after="0" w:line="240" w:lineRule="auto"/>
      </w:pPr>
      <w:r w:rsidRPr="00530B8C">
        <w:t>Det ønskes innspill til alle kapitlene, både på innhold og form. Sentralt er det å få tilbakemelding på om anbefalingene for habiliteringstjenesten er tydelig formulert og om kunnskapsgrunnlaget er beskrevet på en god og forståelig måte.</w:t>
      </w:r>
    </w:p>
    <w:p w:rsidR="002A038D" w:rsidRDefault="002A038D" w:rsidP="002A038D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1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Innledning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P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2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Sentrale anbefalinger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P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3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Etiologi og forekomst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P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4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ICD-10 utdyping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P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5</w:t>
            </w:r>
            <w:r w:rsidR="00530B8C" w:rsidRPr="00530B8C">
              <w:rPr>
                <w:b/>
              </w:rPr>
              <w:t xml:space="preserve">. </w:t>
            </w:r>
            <w:r w:rsidRPr="00530B8C">
              <w:rPr>
                <w:b/>
              </w:rPr>
              <w:t>Ansvarsforhold ved diagnosesetting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P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6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Informasjon, medvirkning og samtykke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P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7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Forventinger til henvisning og utredning i kommunen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8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Indikasjoner for utredning i HABU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9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Samtale med barn, ungdom og foreldre før utredning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lastRenderedPageBreak/>
              <w:t>10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Tilrettelegging av testsituasjonen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11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Vurdering av evnenivå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12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Kartlegging av adaptiv fungering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13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Systematisk observasjon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14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Utredning av barn og unge med omfattende og sammensatte vansker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15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Utredning av minoritetsspråklige barn eller barn med begrensede norskkunnskaper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D2FF3">
            <w:pPr>
              <w:rPr>
                <w:b/>
              </w:rPr>
            </w:pPr>
            <w:r w:rsidRPr="00530B8C">
              <w:rPr>
                <w:b/>
              </w:rPr>
              <w:t>16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</w:t>
            </w:r>
            <w:r w:rsidR="002D2FF3" w:rsidRPr="00530B8C">
              <w:rPr>
                <w:b/>
              </w:rPr>
              <w:t>Medisinsk utredning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D2FF3">
            <w:pPr>
              <w:rPr>
                <w:b/>
              </w:rPr>
            </w:pPr>
            <w:r w:rsidRPr="00530B8C">
              <w:rPr>
                <w:b/>
              </w:rPr>
              <w:t>17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</w:t>
            </w:r>
            <w:r w:rsidR="002D2FF3" w:rsidRPr="00530B8C">
              <w:rPr>
                <w:b/>
              </w:rPr>
              <w:t>Differensialdiagnostikk og komorbiditet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D2FF3">
            <w:pPr>
              <w:rPr>
                <w:b/>
              </w:rPr>
            </w:pPr>
            <w:r w:rsidRPr="00530B8C">
              <w:rPr>
                <w:b/>
              </w:rPr>
              <w:t>18</w:t>
            </w:r>
            <w:r w:rsidR="00530B8C" w:rsidRPr="00530B8C">
              <w:rPr>
                <w:b/>
              </w:rPr>
              <w:t>.</w:t>
            </w:r>
            <w:r w:rsidRPr="00530B8C">
              <w:rPr>
                <w:b/>
              </w:rPr>
              <w:t xml:space="preserve"> </w:t>
            </w:r>
            <w:r w:rsidR="002D2FF3" w:rsidRPr="00530B8C">
              <w:rPr>
                <w:b/>
              </w:rPr>
              <w:t>Samlet vurdering og konklusjon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D2FF3">
            <w:pPr>
              <w:rPr>
                <w:b/>
              </w:rPr>
            </w:pPr>
            <w:r w:rsidRPr="00530B8C">
              <w:rPr>
                <w:b/>
              </w:rPr>
              <w:t xml:space="preserve">19. </w:t>
            </w:r>
            <w:r w:rsidR="002D2FF3" w:rsidRPr="00530B8C">
              <w:rPr>
                <w:b/>
              </w:rPr>
              <w:t>Skriftlig rapport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D2FF3">
            <w:pPr>
              <w:rPr>
                <w:b/>
              </w:rPr>
            </w:pPr>
            <w:r w:rsidRPr="00530B8C">
              <w:rPr>
                <w:b/>
              </w:rPr>
              <w:t xml:space="preserve">20. </w:t>
            </w:r>
            <w:r w:rsidR="002D2FF3">
              <w:rPr>
                <w:b/>
              </w:rPr>
              <w:t>Helsekravene til førerrett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>21. Tilbakemelding til barn, ungdom og voksne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t xml:space="preserve">22. Informasjon til kommunale instanser </w:t>
            </w:r>
          </w:p>
        </w:tc>
      </w:tr>
      <w:tr w:rsidR="008E47F7" w:rsidTr="008E47F7">
        <w:tc>
          <w:tcPr>
            <w:tcW w:w="9212" w:type="dxa"/>
          </w:tcPr>
          <w:p w:rsidR="008E47F7" w:rsidRDefault="008E47F7" w:rsidP="002A038D"/>
          <w:p w:rsidR="00530B8C" w:rsidRDefault="00530B8C" w:rsidP="002A038D"/>
          <w:p w:rsidR="00530B8C" w:rsidRDefault="00530B8C" w:rsidP="002A038D"/>
        </w:tc>
      </w:tr>
      <w:tr w:rsidR="008E47F7" w:rsidTr="00634037">
        <w:tc>
          <w:tcPr>
            <w:tcW w:w="9212" w:type="dxa"/>
            <w:shd w:val="clear" w:color="auto" w:fill="C6D9F1" w:themeFill="text2" w:themeFillTint="33"/>
          </w:tcPr>
          <w:p w:rsidR="008E47F7" w:rsidRPr="00530B8C" w:rsidRDefault="008E47F7" w:rsidP="002A038D">
            <w:pPr>
              <w:rPr>
                <w:b/>
              </w:rPr>
            </w:pPr>
            <w:r w:rsidRPr="00530B8C">
              <w:rPr>
                <w:b/>
              </w:rPr>
              <w:lastRenderedPageBreak/>
              <w:t>23. Metode</w:t>
            </w:r>
          </w:p>
        </w:tc>
      </w:tr>
      <w:tr w:rsidR="00530B8C" w:rsidTr="008E47F7">
        <w:tc>
          <w:tcPr>
            <w:tcW w:w="9212" w:type="dxa"/>
          </w:tcPr>
          <w:p w:rsidR="00530B8C" w:rsidRDefault="00530B8C" w:rsidP="002A038D">
            <w:pPr>
              <w:rPr>
                <w:b/>
              </w:rPr>
            </w:pPr>
          </w:p>
          <w:p w:rsidR="00530B8C" w:rsidRDefault="00530B8C" w:rsidP="002A038D">
            <w:pPr>
              <w:rPr>
                <w:b/>
              </w:rPr>
            </w:pPr>
          </w:p>
          <w:p w:rsidR="00530B8C" w:rsidRPr="00530B8C" w:rsidRDefault="00530B8C" w:rsidP="002A038D">
            <w:pPr>
              <w:rPr>
                <w:b/>
              </w:rPr>
            </w:pPr>
          </w:p>
        </w:tc>
      </w:tr>
      <w:tr w:rsidR="00530B8C" w:rsidTr="00634037">
        <w:tc>
          <w:tcPr>
            <w:tcW w:w="9212" w:type="dxa"/>
            <w:shd w:val="clear" w:color="auto" w:fill="C6D9F1" w:themeFill="text2" w:themeFillTint="33"/>
          </w:tcPr>
          <w:p w:rsidR="00530B8C" w:rsidRPr="00530B8C" w:rsidRDefault="002D2FF3" w:rsidP="002A038D">
            <w:pPr>
              <w:rPr>
                <w:b/>
              </w:rPr>
            </w:pPr>
            <w:r>
              <w:rPr>
                <w:b/>
              </w:rPr>
              <w:t>Andre innspill</w:t>
            </w:r>
          </w:p>
        </w:tc>
      </w:tr>
      <w:tr w:rsidR="00530B8C" w:rsidTr="008E47F7">
        <w:tc>
          <w:tcPr>
            <w:tcW w:w="9212" w:type="dxa"/>
          </w:tcPr>
          <w:p w:rsidR="00530B8C" w:rsidRDefault="00530B8C" w:rsidP="002A038D">
            <w:pPr>
              <w:rPr>
                <w:b/>
              </w:rPr>
            </w:pPr>
          </w:p>
          <w:p w:rsidR="00530B8C" w:rsidRDefault="00530B8C" w:rsidP="002A038D">
            <w:pPr>
              <w:rPr>
                <w:b/>
              </w:rPr>
            </w:pPr>
          </w:p>
          <w:p w:rsidR="00530B8C" w:rsidRPr="00530B8C" w:rsidRDefault="00530B8C" w:rsidP="002A038D">
            <w:pPr>
              <w:rPr>
                <w:b/>
              </w:rPr>
            </w:pPr>
          </w:p>
        </w:tc>
      </w:tr>
    </w:tbl>
    <w:p w:rsidR="008E47F7" w:rsidRDefault="008E47F7" w:rsidP="002A038D">
      <w:pPr>
        <w:spacing w:after="0"/>
      </w:pPr>
    </w:p>
    <w:sectPr w:rsidR="008E47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37" w:rsidRDefault="00634037" w:rsidP="00634037">
      <w:pPr>
        <w:spacing w:after="0" w:line="240" w:lineRule="auto"/>
      </w:pPr>
      <w:r>
        <w:separator/>
      </w:r>
    </w:p>
  </w:endnote>
  <w:endnote w:type="continuationSeparator" w:id="0">
    <w:p w:rsidR="00634037" w:rsidRDefault="00634037" w:rsidP="006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11149"/>
      <w:docPartObj>
        <w:docPartGallery w:val="Page Numbers (Bottom of Page)"/>
        <w:docPartUnique/>
      </w:docPartObj>
    </w:sdtPr>
    <w:sdtEndPr/>
    <w:sdtContent>
      <w:p w:rsidR="00634037" w:rsidRDefault="0063403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39">
          <w:rPr>
            <w:noProof/>
          </w:rPr>
          <w:t>2</w:t>
        </w:r>
        <w:r>
          <w:fldChar w:fldCharType="end"/>
        </w:r>
      </w:p>
    </w:sdtContent>
  </w:sdt>
  <w:p w:rsidR="00634037" w:rsidRDefault="006340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37" w:rsidRDefault="00634037" w:rsidP="00634037">
      <w:pPr>
        <w:spacing w:after="0" w:line="240" w:lineRule="auto"/>
      </w:pPr>
      <w:r>
        <w:separator/>
      </w:r>
    </w:p>
  </w:footnote>
  <w:footnote w:type="continuationSeparator" w:id="0">
    <w:p w:rsidR="00634037" w:rsidRDefault="00634037" w:rsidP="006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F98"/>
    <w:multiLevelType w:val="hybridMultilevel"/>
    <w:tmpl w:val="F38493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0FD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2E02A1"/>
    <w:multiLevelType w:val="hybridMultilevel"/>
    <w:tmpl w:val="392A9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8D"/>
    <w:rsid w:val="0025058E"/>
    <w:rsid w:val="0029007F"/>
    <w:rsid w:val="002A038D"/>
    <w:rsid w:val="002A106A"/>
    <w:rsid w:val="002D2FF3"/>
    <w:rsid w:val="00455BA9"/>
    <w:rsid w:val="00530B8C"/>
    <w:rsid w:val="00604D39"/>
    <w:rsid w:val="00616138"/>
    <w:rsid w:val="00634037"/>
    <w:rsid w:val="007B1D03"/>
    <w:rsid w:val="008E47F7"/>
    <w:rsid w:val="009D616E"/>
    <w:rsid w:val="00A53E91"/>
    <w:rsid w:val="00CF528C"/>
    <w:rsid w:val="00DB4F17"/>
    <w:rsid w:val="00E8353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0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5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5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2A038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5058E"/>
    <w:rPr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2A106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1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4F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4F1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4F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4F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4F17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4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F5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5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E4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E47F7"/>
    <w:rPr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6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4037"/>
  </w:style>
  <w:style w:type="paragraph" w:styleId="Bunntekst">
    <w:name w:val="footer"/>
    <w:basedOn w:val="Normal"/>
    <w:link w:val="BunntekstTegn"/>
    <w:uiPriority w:val="99"/>
    <w:unhideWhenUsed/>
    <w:rsid w:val="006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4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0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5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5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2A038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5058E"/>
    <w:rPr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2A106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1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4F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4F1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4F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4F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4F17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4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F5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5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E4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E47F7"/>
    <w:rPr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6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4037"/>
  </w:style>
  <w:style w:type="paragraph" w:styleId="Bunntekst">
    <w:name w:val="footer"/>
    <w:basedOn w:val="Normal"/>
    <w:link w:val="BunntekstTegn"/>
    <w:uiPriority w:val="99"/>
    <w:unhideWhenUsed/>
    <w:rsid w:val="006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9CFC-7338-4437-A8D7-5237E064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 Olsen</dc:creator>
  <cp:lastModifiedBy>Anett Olsen</cp:lastModifiedBy>
  <cp:revision>2</cp:revision>
  <cp:lastPrinted>2019-04-26T11:06:00Z</cp:lastPrinted>
  <dcterms:created xsi:type="dcterms:W3CDTF">2019-05-14T08:53:00Z</dcterms:created>
  <dcterms:modified xsi:type="dcterms:W3CDTF">2019-05-14T08:53:00Z</dcterms:modified>
</cp:coreProperties>
</file>