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8F" w:rsidRPr="00F97002" w:rsidRDefault="00764045">
      <w:pPr>
        <w:pStyle w:val="Sluttnotetekst"/>
        <w:suppressAutoHyphens/>
        <w:rPr>
          <w:szCs w:val="24"/>
        </w:rPr>
      </w:pPr>
      <w:r>
        <w:rPr>
          <w:noProof/>
          <w:snapToGrid/>
        </w:rPr>
        <w:drawing>
          <wp:anchor distT="0" distB="0" distL="114300" distR="114300" simplePos="0" relativeHeight="251657728" behindDoc="1" locked="0" layoutInCell="1" allowOverlap="1">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A8F" w:rsidRPr="00F97002" w:rsidRDefault="00515A8F">
      <w:pPr>
        <w:suppressAutoHyphens/>
        <w:rPr>
          <w:szCs w:val="24"/>
        </w:rPr>
      </w:pPr>
    </w:p>
    <w:p w:rsidR="00515A8F" w:rsidRPr="00F97002" w:rsidRDefault="00764045">
      <w:pPr>
        <w:suppressAutoHyphens/>
        <w:rPr>
          <w:szCs w:val="24"/>
        </w:rPr>
      </w:pPr>
      <w:r>
        <w:rPr>
          <w:szCs w:val="24"/>
        </w:rPr>
        <w:t>Norsk forening for allmennmedisin</w:t>
      </w:r>
    </w:p>
    <w:p w:rsidR="00515A8F" w:rsidRDefault="00764045">
      <w:pPr>
        <w:suppressAutoHyphens/>
        <w:rPr>
          <w:szCs w:val="24"/>
        </w:rPr>
      </w:pPr>
      <w:r>
        <w:rPr>
          <w:szCs w:val="24"/>
        </w:rPr>
        <w:t>Norsk gynekologisk forening</w:t>
      </w:r>
    </w:p>
    <w:p w:rsidR="00604BF8" w:rsidRPr="00F97002" w:rsidRDefault="00764045">
      <w:pPr>
        <w:suppressAutoHyphens/>
        <w:rPr>
          <w:szCs w:val="24"/>
        </w:rPr>
      </w:pPr>
      <w:bookmarkStart w:id="0" w:name="bkmAdr1"/>
      <w:bookmarkEnd w:id="0"/>
      <w:r>
        <w:rPr>
          <w:szCs w:val="24"/>
        </w:rPr>
        <w:t>Norsk barnelegeforening</w:t>
      </w:r>
    </w:p>
    <w:p w:rsidR="00515A8F" w:rsidRPr="00F97002" w:rsidRDefault="00764045">
      <w:pPr>
        <w:suppressAutoHyphens/>
        <w:rPr>
          <w:szCs w:val="24"/>
        </w:rPr>
      </w:pPr>
      <w:bookmarkStart w:id="1" w:name="bkmTil"/>
      <w:bookmarkEnd w:id="1"/>
      <w:r>
        <w:rPr>
          <w:szCs w:val="24"/>
        </w:rPr>
        <w:t>Norsk samfunnsmedisinsk forening</w:t>
      </w:r>
    </w:p>
    <w:p w:rsidR="00515A8F" w:rsidRPr="00F97002" w:rsidRDefault="00515A8F">
      <w:pPr>
        <w:tabs>
          <w:tab w:val="left" w:pos="-1440"/>
          <w:tab w:val="left" w:pos="-720"/>
          <w:tab w:val="left" w:pos="0"/>
          <w:tab w:val="left" w:pos="3600"/>
          <w:tab w:val="left" w:pos="9360"/>
        </w:tabs>
        <w:suppressAutoHyphens/>
        <w:rPr>
          <w:szCs w:val="24"/>
        </w:rPr>
      </w:pPr>
      <w:bookmarkStart w:id="2" w:name="bkmAdr2"/>
      <w:bookmarkStart w:id="3" w:name="bkmPost"/>
      <w:bookmarkEnd w:id="2"/>
      <w:bookmarkEnd w:id="3"/>
    </w:p>
    <w:p w:rsidR="00515A8F" w:rsidRPr="00F97002"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F97002">
        <w:rPr>
          <w:szCs w:val="24"/>
        </w:rPr>
        <w:t xml:space="preserve">Deres ref.: </w:t>
      </w:r>
      <w:bookmarkStart w:id="4" w:name="bkmDeres"/>
      <w:bookmarkEnd w:id="4"/>
      <w:r w:rsidRPr="00F97002">
        <w:rPr>
          <w:szCs w:val="24"/>
        </w:rPr>
        <w:tab/>
        <w:t xml:space="preserve">Vår ref.: </w:t>
      </w:r>
      <w:bookmarkStart w:id="5" w:name="bkmVår"/>
      <w:bookmarkEnd w:id="5"/>
      <w:r w:rsidRPr="00F97002">
        <w:rPr>
          <w:szCs w:val="24"/>
        </w:rPr>
        <w:tab/>
        <w:t xml:space="preserve">Dato: </w:t>
      </w:r>
      <w:bookmarkStart w:id="6" w:name="bkmDato"/>
      <w:bookmarkEnd w:id="6"/>
      <w:r w:rsidR="00764045">
        <w:rPr>
          <w:szCs w:val="24"/>
        </w:rPr>
        <w:t>17.10.17</w:t>
      </w:r>
      <w:r w:rsidRPr="00F97002">
        <w:rPr>
          <w:szCs w:val="24"/>
        </w:rPr>
        <w:fldChar w:fldCharType="begin"/>
      </w:r>
      <w:r w:rsidRPr="00F97002">
        <w:rPr>
          <w:szCs w:val="24"/>
        </w:rPr>
        <w:instrText xml:space="preserve">PRIVATE </w:instrText>
      </w:r>
      <w:r w:rsidRPr="00F97002">
        <w:rPr>
          <w:szCs w:val="24"/>
        </w:rPr>
      </w:r>
      <w:r w:rsidRPr="00F97002">
        <w:rPr>
          <w:szCs w:val="24"/>
        </w:rPr>
        <w:fldChar w:fldCharType="end"/>
      </w:r>
    </w:p>
    <w:p w:rsidR="00515A8F" w:rsidRPr="00F97002" w:rsidRDefault="00515A8F">
      <w:pPr>
        <w:tabs>
          <w:tab w:val="left" w:pos="-1440"/>
          <w:tab w:val="left" w:pos="-720"/>
          <w:tab w:val="left" w:pos="0"/>
          <w:tab w:val="left" w:pos="3600"/>
          <w:tab w:val="left" w:pos="9360"/>
        </w:tabs>
        <w:suppressAutoHyphens/>
        <w:rPr>
          <w:szCs w:val="24"/>
        </w:rPr>
      </w:pPr>
      <w:r w:rsidRPr="00F97002">
        <w:rPr>
          <w:szCs w:val="24"/>
        </w:rPr>
        <w:tab/>
      </w:r>
    </w:p>
    <w:p w:rsidR="00764045" w:rsidRPr="00764045" w:rsidRDefault="00764045" w:rsidP="00764045">
      <w:pPr>
        <w:rPr>
          <w:sz w:val="28"/>
          <w:szCs w:val="28"/>
        </w:rPr>
      </w:pPr>
      <w:r w:rsidRPr="00764045">
        <w:rPr>
          <w:b/>
          <w:bCs/>
          <w:sz w:val="28"/>
          <w:szCs w:val="28"/>
        </w:rPr>
        <w:t>Høring om Nasjonal faglig retningslinje for svangerskapsomsorgen</w:t>
      </w:r>
    </w:p>
    <w:p w:rsidR="00515A8F" w:rsidRPr="00F97002" w:rsidRDefault="00515A8F">
      <w:pPr>
        <w:tabs>
          <w:tab w:val="left" w:pos="-1440"/>
          <w:tab w:val="left" w:pos="-720"/>
          <w:tab w:val="left" w:pos="0"/>
          <w:tab w:val="left" w:pos="3600"/>
          <w:tab w:val="left" w:pos="7346"/>
          <w:tab w:val="left" w:pos="9360"/>
        </w:tabs>
        <w:suppressAutoHyphens/>
        <w:rPr>
          <w:szCs w:val="24"/>
        </w:rPr>
      </w:pPr>
    </w:p>
    <w:p w:rsidR="0091404D" w:rsidRPr="0091404D" w:rsidRDefault="00764045" w:rsidP="0091404D">
      <w:r w:rsidRPr="0091404D">
        <w:t>Legeforeningen har mottatt høring fra</w:t>
      </w:r>
      <w:r w:rsidRPr="0091404D">
        <w:t xml:space="preserve"> Helsedirektoratet om nasjonalfaglige retningslinjer for svangerskapsomsorgen.</w:t>
      </w:r>
      <w:r w:rsidR="0091404D" w:rsidRPr="0091404D">
        <w:rPr>
          <w:color w:val="222222"/>
        </w:rPr>
        <w:t xml:space="preserve"> </w:t>
      </w:r>
      <w:r w:rsidR="0091404D" w:rsidRPr="0091404D">
        <w:rPr>
          <w:color w:val="222222"/>
        </w:rPr>
        <w:t>Retningslinjen er primært utarbeidet for gravide og alt helsepersonell i svangerskaps-, fødsels- og barselomsorgen. Retningslinjen kan være av interesse for pårørende, politikere, utdanningsinstitusjoner og helse– og sosialpersonell.</w:t>
      </w:r>
    </w:p>
    <w:p w:rsidR="00764045" w:rsidRPr="0091404D" w:rsidRDefault="00764045" w:rsidP="0091404D"/>
    <w:p w:rsidR="00764045" w:rsidRPr="0091404D" w:rsidRDefault="00764045" w:rsidP="0091404D">
      <w:r w:rsidRPr="0091404D">
        <w:t>Retningslinjen anbefaler et basisprogram med helsekontroller for å forebygge sykdom og avdekke eventuell risiko i svangerskapet. Anbefalingene gjelder for friske gravide uten kjente risikofaktorer. Oppfølging av gravide med risikosvangerskap eller komplikasjoner omfattes ikke av denne retningslinjen. Retningslinjen og helsekort for gravide må sees i sammenheng for en helhetlig oppfølging.</w:t>
      </w:r>
      <w:r w:rsidR="0091404D">
        <w:t xml:space="preserve"> </w:t>
      </w:r>
      <w:r w:rsidRPr="0091404D">
        <w:t>Fastlege/jordmor bør tilby første konsultasjon innen en uke etter at gravide har tatt kontakt med legekontor eller helsestasjon. Det bør være avsatt god tid til en dialog om levevaner. Gravide som trenger det</w:t>
      </w:r>
      <w:r w:rsidR="0091404D">
        <w:t>,</w:t>
      </w:r>
      <w:r w:rsidRPr="0091404D">
        <w:t xml:space="preserve"> bør få tilbud om utvidet veiledning og oppfølging i svangerskapet. Oppdateringen inkluderer relevante anbefalinger fra allerede publiserte produkter.</w:t>
      </w:r>
    </w:p>
    <w:p w:rsidR="00515A8F" w:rsidRPr="0091404D" w:rsidRDefault="00515A8F" w:rsidP="0091404D">
      <w:bookmarkStart w:id="7" w:name="bkmOverskr"/>
      <w:bookmarkStart w:id="8" w:name="bkmStopp"/>
      <w:bookmarkEnd w:id="7"/>
      <w:bookmarkEnd w:id="8"/>
    </w:p>
    <w:p w:rsidR="00764045" w:rsidRPr="0091404D" w:rsidRDefault="00764045" w:rsidP="0091404D">
      <w:pPr>
        <w:rPr>
          <w:rFonts w:eastAsia="Calibri"/>
          <w:color w:val="000000"/>
          <w:lang w:eastAsia="en-US"/>
        </w:rPr>
      </w:pPr>
      <w:r w:rsidRPr="0091404D">
        <w:rPr>
          <w:rFonts w:eastAsia="Calibri"/>
          <w:color w:val="000000"/>
          <w:lang w:eastAsia="en-US"/>
        </w:rPr>
        <w:t xml:space="preserve">Les mer </w:t>
      </w:r>
      <w:r w:rsidRPr="0091404D">
        <w:rPr>
          <w:rFonts w:eastAsia="Calibri"/>
          <w:color w:val="000000"/>
          <w:lang w:eastAsia="en-US"/>
        </w:rPr>
        <w:t>på direktoratets</w:t>
      </w:r>
      <w:r w:rsidRPr="0091404D">
        <w:rPr>
          <w:rFonts w:eastAsia="Calibri"/>
          <w:color w:val="000000"/>
          <w:lang w:eastAsia="en-US"/>
        </w:rPr>
        <w:t xml:space="preserve"> nettsider:</w:t>
      </w:r>
    </w:p>
    <w:p w:rsidR="00764045" w:rsidRPr="0091404D" w:rsidRDefault="00764045" w:rsidP="0091404D">
      <w:hyperlink r:id="rId9" w:history="1">
        <w:r w:rsidRPr="0091404D">
          <w:rPr>
            <w:rStyle w:val="Hyperkobling"/>
            <w:szCs w:val="24"/>
          </w:rPr>
          <w:t>https://helsedirektoratet.no/horinger/nasjonal-faglig-retningslinje-for-svangerskapsomsorgen#høringsinnspill</w:t>
        </w:r>
      </w:hyperlink>
    </w:p>
    <w:p w:rsidR="00764045" w:rsidRPr="0091404D" w:rsidRDefault="00764045" w:rsidP="0091404D"/>
    <w:p w:rsidR="00764045" w:rsidRPr="0091404D" w:rsidRDefault="00764045" w:rsidP="0091404D">
      <w:r w:rsidRPr="0091404D">
        <w:t xml:space="preserve">Dersom høringen virker relevant, bes det om at innspill sendes til Legeforeningen innen </w:t>
      </w:r>
      <w:r w:rsidRPr="0091404D">
        <w:br/>
      </w:r>
      <w:r w:rsidRPr="0091404D">
        <w:rPr>
          <w:b/>
        </w:rPr>
        <w:t>1. januar 2018</w:t>
      </w:r>
      <w:r w:rsidRPr="0091404D">
        <w:rPr>
          <w:b/>
        </w:rPr>
        <w:t xml:space="preserve">. </w:t>
      </w:r>
      <w:r w:rsidRPr="0091404D">
        <w:t xml:space="preserve">Det bes om at innspillene lastes opp direkte på Legeforeningens nettsider. </w:t>
      </w:r>
      <w:r w:rsidRPr="0091404D">
        <w:br/>
      </w:r>
      <w:r w:rsidRPr="0091404D">
        <w:br/>
        <w:t xml:space="preserve">Høringen finnes på </w:t>
      </w:r>
      <w:r w:rsidRPr="0091404D">
        <w:rPr>
          <w:b/>
        </w:rPr>
        <w:t xml:space="preserve">Legeforeningen.no </w:t>
      </w:r>
      <w:r w:rsidRPr="0091404D">
        <w:t>under</w:t>
      </w:r>
      <w:r w:rsidRPr="0091404D">
        <w:rPr>
          <w:b/>
        </w:rPr>
        <w:t xml:space="preserve"> Høringer</w:t>
      </w:r>
    </w:p>
    <w:p w:rsidR="00515A8F" w:rsidRPr="00F97002" w:rsidRDefault="00515A8F">
      <w:pPr>
        <w:rPr>
          <w:szCs w:val="24"/>
        </w:rPr>
      </w:pPr>
    </w:p>
    <w:p w:rsidR="00515A8F" w:rsidRPr="00F97002" w:rsidRDefault="00515A8F">
      <w:pPr>
        <w:rPr>
          <w:szCs w:val="24"/>
        </w:rPr>
      </w:pPr>
    </w:p>
    <w:p w:rsidR="00515A8F" w:rsidRPr="00F97002" w:rsidRDefault="00515A8F">
      <w:pPr>
        <w:rPr>
          <w:szCs w:val="24"/>
        </w:rPr>
      </w:pPr>
      <w:r w:rsidRPr="00F97002">
        <w:rPr>
          <w:szCs w:val="24"/>
        </w:rPr>
        <w:t>Med hilsen</w:t>
      </w:r>
    </w:p>
    <w:p w:rsidR="00515A8F" w:rsidRPr="00F97002" w:rsidRDefault="00515A8F">
      <w:pPr>
        <w:rPr>
          <w:szCs w:val="24"/>
        </w:rPr>
      </w:pPr>
      <w:r w:rsidRPr="00F97002">
        <w:rPr>
          <w:szCs w:val="24"/>
        </w:rPr>
        <w:t>Den norske l</w:t>
      </w:r>
      <w:r w:rsidR="004C628F" w:rsidRPr="00F97002">
        <w:rPr>
          <w:szCs w:val="24"/>
        </w:rPr>
        <w:t>e</w:t>
      </w:r>
      <w:r w:rsidRPr="00F97002">
        <w:rPr>
          <w:szCs w:val="24"/>
        </w:rPr>
        <w:t>geforening</w:t>
      </w:r>
    </w:p>
    <w:p w:rsidR="00515A8F" w:rsidRPr="00F97002" w:rsidRDefault="00515A8F">
      <w:pPr>
        <w:rPr>
          <w:szCs w:val="24"/>
        </w:rPr>
      </w:pPr>
    </w:p>
    <w:p w:rsidR="00515A8F" w:rsidRPr="00F97002" w:rsidRDefault="00515A8F">
      <w:pPr>
        <w:rPr>
          <w:szCs w:val="24"/>
        </w:rPr>
      </w:pPr>
    </w:p>
    <w:p w:rsidR="00515A8F" w:rsidRPr="00F97002" w:rsidRDefault="00764045">
      <w:pPr>
        <w:rPr>
          <w:szCs w:val="24"/>
        </w:rPr>
      </w:pPr>
      <w:bookmarkStart w:id="9" w:name="bkmUnders"/>
      <w:bookmarkEnd w:id="9"/>
      <w:r>
        <w:rPr>
          <w:szCs w:val="24"/>
        </w:rPr>
        <w:t>Ingvild Bjørgo Berg</w:t>
      </w:r>
    </w:p>
    <w:p w:rsidR="00515A8F" w:rsidRPr="00F97002" w:rsidRDefault="00764045">
      <w:pPr>
        <w:rPr>
          <w:szCs w:val="24"/>
        </w:rPr>
      </w:pPr>
      <w:bookmarkStart w:id="10" w:name="bkmTittel"/>
      <w:bookmarkEnd w:id="10"/>
      <w:r>
        <w:rPr>
          <w:szCs w:val="24"/>
        </w:rPr>
        <w:t>Helsepolitisk rådgiver</w:t>
      </w:r>
    </w:p>
    <w:p w:rsidR="00515A8F" w:rsidRPr="00F97002" w:rsidRDefault="00515A8F">
      <w:pPr>
        <w:rPr>
          <w:szCs w:val="24"/>
        </w:rPr>
      </w:pPr>
    </w:p>
    <w:p w:rsidR="00515A8F" w:rsidRPr="00F97002" w:rsidRDefault="00515A8F">
      <w:pPr>
        <w:rPr>
          <w:szCs w:val="24"/>
        </w:rPr>
      </w:pPr>
    </w:p>
    <w:p w:rsidR="00515A8F" w:rsidRPr="00F97002" w:rsidRDefault="00515A8F">
      <w:pPr>
        <w:rPr>
          <w:szCs w:val="24"/>
        </w:rPr>
      </w:pPr>
    </w:p>
    <w:tbl>
      <w:tblPr>
        <w:tblW w:w="0" w:type="auto"/>
        <w:tblLayout w:type="fixed"/>
        <w:tblLook w:val="0000" w:firstRow="0" w:lastRow="0" w:firstColumn="0" w:lastColumn="0" w:noHBand="0" w:noVBand="0"/>
      </w:tblPr>
      <w:tblGrid>
        <w:gridCol w:w="1101"/>
        <w:gridCol w:w="8079"/>
      </w:tblGrid>
      <w:tr w:rsidR="00515A8F" w:rsidRPr="00F97002">
        <w:tblPrEx>
          <w:tblCellMar>
            <w:top w:w="0" w:type="dxa"/>
            <w:bottom w:w="0" w:type="dxa"/>
          </w:tblCellMar>
        </w:tblPrEx>
        <w:tc>
          <w:tcPr>
            <w:tcW w:w="1101" w:type="dxa"/>
          </w:tcPr>
          <w:p w:rsidR="00515A8F" w:rsidRPr="00F97002" w:rsidRDefault="00515A8F">
            <w:pPr>
              <w:rPr>
                <w:szCs w:val="24"/>
              </w:rPr>
            </w:pPr>
            <w:bookmarkStart w:id="11" w:name="v1"/>
            <w:bookmarkEnd w:id="11"/>
          </w:p>
        </w:tc>
        <w:tc>
          <w:tcPr>
            <w:tcW w:w="8079" w:type="dxa"/>
          </w:tcPr>
          <w:p w:rsidR="00515A8F" w:rsidRPr="00F97002" w:rsidRDefault="00515A8F">
            <w:pPr>
              <w:rPr>
                <w:szCs w:val="24"/>
              </w:rPr>
            </w:pPr>
            <w:bookmarkStart w:id="12" w:name="v2"/>
            <w:bookmarkEnd w:id="12"/>
          </w:p>
        </w:tc>
      </w:tr>
    </w:tbl>
    <w:p w:rsidR="00515A8F" w:rsidRPr="00F97002" w:rsidRDefault="00515A8F">
      <w:pPr>
        <w:rPr>
          <w:szCs w:val="24"/>
        </w:rPr>
      </w:pPr>
    </w:p>
    <w:tbl>
      <w:tblPr>
        <w:tblW w:w="0" w:type="auto"/>
        <w:tblLayout w:type="fixed"/>
        <w:tblLook w:val="0000" w:firstRow="0" w:lastRow="0" w:firstColumn="0" w:lastColumn="0" w:noHBand="0" w:noVBand="0"/>
      </w:tblPr>
      <w:tblGrid>
        <w:gridCol w:w="1101"/>
        <w:gridCol w:w="8141"/>
      </w:tblGrid>
      <w:tr w:rsidR="00515A8F" w:rsidRPr="00F97002">
        <w:tblPrEx>
          <w:tblCellMar>
            <w:top w:w="0" w:type="dxa"/>
            <w:bottom w:w="0" w:type="dxa"/>
          </w:tblCellMar>
        </w:tblPrEx>
        <w:tc>
          <w:tcPr>
            <w:tcW w:w="1101" w:type="dxa"/>
          </w:tcPr>
          <w:p w:rsidR="00515A8F" w:rsidRPr="00F97002" w:rsidRDefault="00515A8F">
            <w:pPr>
              <w:rPr>
                <w:szCs w:val="24"/>
              </w:rPr>
            </w:pPr>
            <w:bookmarkStart w:id="13" w:name="k1"/>
            <w:bookmarkEnd w:id="13"/>
          </w:p>
        </w:tc>
        <w:tc>
          <w:tcPr>
            <w:tcW w:w="8141" w:type="dxa"/>
          </w:tcPr>
          <w:p w:rsidR="00515A8F" w:rsidRPr="00F97002" w:rsidRDefault="00515A8F">
            <w:pPr>
              <w:rPr>
                <w:szCs w:val="24"/>
              </w:rPr>
            </w:pPr>
            <w:bookmarkStart w:id="14" w:name="k2"/>
            <w:bookmarkEnd w:id="14"/>
          </w:p>
        </w:tc>
      </w:tr>
    </w:tbl>
    <w:p w:rsidR="00515A8F" w:rsidRPr="00F97002" w:rsidRDefault="00515A8F">
      <w:pPr>
        <w:rPr>
          <w:szCs w:val="24"/>
        </w:rPr>
      </w:pPr>
      <w:bookmarkStart w:id="15" w:name="_GoBack"/>
      <w:bookmarkEnd w:id="15"/>
    </w:p>
    <w:sectPr w:rsidR="00515A8F" w:rsidRPr="00F97002" w:rsidSect="00EB5AE9">
      <w:footerReference w:type="default" r:id="rId10"/>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045" w:rsidRDefault="00764045">
      <w:pPr>
        <w:spacing w:line="20" w:lineRule="exact"/>
      </w:pPr>
    </w:p>
  </w:endnote>
  <w:endnote w:type="continuationSeparator" w:id="0">
    <w:p w:rsidR="00764045" w:rsidRDefault="00764045">
      <w:r>
        <w:t xml:space="preserve"> </w:t>
      </w:r>
    </w:p>
  </w:endnote>
  <w:endnote w:type="continuationNotice" w:id="1">
    <w:p w:rsidR="00764045" w:rsidRDefault="007640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E9" w:rsidRPr="00135340" w:rsidRDefault="00EB5AE9"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proofErr w:type="gramStart"/>
    <w:r w:rsidRPr="00135340">
      <w:rPr>
        <w:rFonts w:ascii="Garamond" w:hAnsi="Garamond" w:cs="MV Boli"/>
        <w:sz w:val="16"/>
        <w:szCs w:val="16"/>
      </w:rPr>
      <w:t xml:space="preserve">•  </w:t>
    </w:r>
    <w:r w:rsidRPr="00C8213D">
      <w:rPr>
        <w:rFonts w:ascii="Garamond" w:hAnsi="Garamond" w:cs="MV Boli"/>
        <w:sz w:val="16"/>
        <w:szCs w:val="16"/>
      </w:rPr>
      <w:t>Besøksadresse</w:t>
    </w:r>
    <w:proofErr w:type="gramEnd"/>
    <w:r w:rsidRPr="00C8213D">
      <w:rPr>
        <w:rFonts w:ascii="Garamond" w:hAnsi="Garamond" w:cs="MV Boli"/>
        <w:sz w:val="16"/>
        <w:szCs w:val="16"/>
      </w:rPr>
      <w:t xml:space="preserv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w:t>
    </w:r>
    <w:proofErr w:type="gramStart"/>
    <w:r w:rsidRPr="00135340">
      <w:rPr>
        <w:rFonts w:ascii="Garamond" w:hAnsi="Garamond" w:cs="MV Boli"/>
        <w:sz w:val="16"/>
        <w:szCs w:val="16"/>
      </w:rPr>
      <w:t>5005.06.23189</w:t>
    </w:r>
    <w:proofErr w:type="gramEnd"/>
    <w:r w:rsidRPr="00135340">
      <w:rPr>
        <w:rFonts w:ascii="Garamond" w:hAnsi="Garamond" w:cs="MV Boli"/>
        <w:sz w:val="16"/>
        <w:szCs w:val="16"/>
      </w:rPr>
      <w:t xml:space="preserve"> </w:t>
    </w:r>
  </w:p>
  <w:p w:rsidR="00515A8F" w:rsidRDefault="00515A8F" w:rsidP="00EB5AE9">
    <w:pPr>
      <w:tabs>
        <w:tab w:val="left" w:pos="-720"/>
      </w:tabs>
      <w:suppressAutoHyphens/>
      <w:spacing w:line="360" w:lineRule="auto"/>
      <w:ind w:right="-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045" w:rsidRDefault="00764045">
      <w:r>
        <w:separator/>
      </w:r>
    </w:p>
  </w:footnote>
  <w:footnote w:type="continuationSeparator" w:id="0">
    <w:p w:rsidR="00764045" w:rsidRDefault="00764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045"/>
    <w:rsid w:val="00036D82"/>
    <w:rsid w:val="000645B0"/>
    <w:rsid w:val="000C6B0E"/>
    <w:rsid w:val="00417EEE"/>
    <w:rsid w:val="0042025D"/>
    <w:rsid w:val="004C628F"/>
    <w:rsid w:val="00515A8F"/>
    <w:rsid w:val="005F4536"/>
    <w:rsid w:val="00604BF8"/>
    <w:rsid w:val="006B589F"/>
    <w:rsid w:val="00764045"/>
    <w:rsid w:val="007C618B"/>
    <w:rsid w:val="0091404D"/>
    <w:rsid w:val="009D1786"/>
    <w:rsid w:val="00A064D9"/>
    <w:rsid w:val="00BE2998"/>
    <w:rsid w:val="00C33AB7"/>
    <w:rsid w:val="00D5242A"/>
    <w:rsid w:val="00DC1503"/>
    <w:rsid w:val="00DD479E"/>
    <w:rsid w:val="00DE3EAA"/>
    <w:rsid w:val="00EB5AE9"/>
    <w:rsid w:val="00F97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rsid w:val="007640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rsid w:val="007640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19548">
      <w:bodyDiv w:val="1"/>
      <w:marLeft w:val="0"/>
      <w:marRight w:val="0"/>
      <w:marTop w:val="0"/>
      <w:marBottom w:val="0"/>
      <w:divBdr>
        <w:top w:val="none" w:sz="0" w:space="0" w:color="auto"/>
        <w:left w:val="none" w:sz="0" w:space="0" w:color="auto"/>
        <w:bottom w:val="none" w:sz="0" w:space="0" w:color="auto"/>
        <w:right w:val="none" w:sz="0" w:space="0" w:color="auto"/>
      </w:divBdr>
    </w:div>
    <w:div w:id="111655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lsedirektoratet.no/horinger/nasjonal-faglig-retningslinje-for-svangerskapsomsorgen#h&#248;ringsinnspi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154B8-F1FE-4F16-A747-C41F49EE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16</TotalTime>
  <Pages>1</Pages>
  <Words>212</Words>
  <Characters>1731</Characters>
  <Application>Microsoft Office Word</Application>
  <DocSecurity>0</DocSecurity>
  <Lines>14</Lines>
  <Paragraphs>3</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2</cp:revision>
  <cp:lastPrinted>2007-12-18T07:22:00Z</cp:lastPrinted>
  <dcterms:created xsi:type="dcterms:W3CDTF">2017-10-17T12:38:00Z</dcterms:created>
  <dcterms:modified xsi:type="dcterms:W3CDTF">2017-10-17T12:57:00Z</dcterms:modified>
</cp:coreProperties>
</file>