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9038D" w14:textId="77777777" w:rsidR="008C253D" w:rsidRDefault="008C253D" w:rsidP="008738BF">
      <w:pPr>
        <w:ind w:left="1080" w:hanging="360"/>
      </w:pPr>
    </w:p>
    <w:p w14:paraId="3835DA42" w14:textId="65AC68D5" w:rsidR="008C253D" w:rsidRDefault="00D17782" w:rsidP="008C253D">
      <w:pPr>
        <w:rPr>
          <w:b/>
          <w:bCs/>
        </w:rPr>
      </w:pPr>
      <w:r>
        <w:rPr>
          <w:b/>
          <w:bCs/>
        </w:rPr>
        <w:t xml:space="preserve">Lov om </w:t>
      </w:r>
      <w:proofErr w:type="spellStart"/>
      <w:r>
        <w:rPr>
          <w:b/>
          <w:bCs/>
        </w:rPr>
        <w:t>SoHO</w:t>
      </w:r>
      <w:proofErr w:type="spellEnd"/>
      <w:r w:rsidR="00D36AB3">
        <w:rPr>
          <w:b/>
          <w:bCs/>
        </w:rPr>
        <w:t xml:space="preserve"> forordningen-høring</w:t>
      </w:r>
    </w:p>
    <w:p w14:paraId="77A70B9C" w14:textId="641673C2" w:rsidR="00D36AB3" w:rsidRPr="008C253D" w:rsidRDefault="008B0B65" w:rsidP="008C253D">
      <w:pPr>
        <w:rPr>
          <w:b/>
          <w:bCs/>
        </w:rPr>
      </w:pPr>
      <w:r>
        <w:rPr>
          <w:b/>
          <w:bCs/>
        </w:rPr>
        <w:t>Fra: Norsk forening for immunologi og transfusjonsmedisin</w:t>
      </w:r>
    </w:p>
    <w:p w14:paraId="5D8E8CE6" w14:textId="77777777" w:rsidR="008C253D" w:rsidRDefault="008C253D" w:rsidP="008C253D">
      <w:pPr>
        <w:pStyle w:val="Listeavsnitt"/>
        <w:ind w:left="1080"/>
        <w:rPr>
          <w:b/>
          <w:bCs/>
        </w:rPr>
      </w:pPr>
    </w:p>
    <w:p w14:paraId="2735B1E4" w14:textId="77777777" w:rsidR="008C253D" w:rsidRDefault="008C253D" w:rsidP="008C253D">
      <w:pPr>
        <w:pStyle w:val="Listeavsnitt"/>
        <w:ind w:left="1080"/>
        <w:rPr>
          <w:b/>
          <w:bCs/>
        </w:rPr>
      </w:pPr>
    </w:p>
    <w:p w14:paraId="0A556C3F" w14:textId="40C02AC6" w:rsidR="006B108A" w:rsidRPr="008738BF" w:rsidRDefault="00CE1F3B" w:rsidP="008738BF">
      <w:pPr>
        <w:pStyle w:val="Listeavsnitt"/>
        <w:numPr>
          <w:ilvl w:val="0"/>
          <w:numId w:val="3"/>
        </w:numPr>
        <w:rPr>
          <w:b/>
          <w:bCs/>
        </w:rPr>
      </w:pPr>
      <w:r w:rsidRPr="008738BF">
        <w:rPr>
          <w:b/>
          <w:bCs/>
        </w:rPr>
        <w:t xml:space="preserve">HVORDAN </w:t>
      </w:r>
      <w:r w:rsidR="006052E1" w:rsidRPr="008738BF">
        <w:rPr>
          <w:b/>
          <w:bCs/>
        </w:rPr>
        <w:t xml:space="preserve">ROLLER OG ANSVARSFOHOLD SKAL </w:t>
      </w:r>
      <w:r w:rsidR="00145063" w:rsidRPr="008738BF">
        <w:rPr>
          <w:b/>
          <w:bCs/>
        </w:rPr>
        <w:t xml:space="preserve">REGULERES/TOLKES I </w:t>
      </w:r>
      <w:proofErr w:type="spellStart"/>
      <w:r w:rsidR="006B108A" w:rsidRPr="008738BF">
        <w:rPr>
          <w:b/>
          <w:bCs/>
        </w:rPr>
        <w:t>SoHO</w:t>
      </w:r>
      <w:proofErr w:type="spellEnd"/>
      <w:r w:rsidR="006B108A" w:rsidRPr="008738BF">
        <w:rPr>
          <w:b/>
          <w:bCs/>
        </w:rPr>
        <w:t>-forordningen</w:t>
      </w:r>
      <w:r w:rsidR="000116FA" w:rsidRPr="008738BF">
        <w:rPr>
          <w:b/>
          <w:bCs/>
        </w:rPr>
        <w:t xml:space="preserve">? </w:t>
      </w:r>
    </w:p>
    <w:p w14:paraId="4710B37D" w14:textId="1D5E1BD9" w:rsidR="002E1FFD" w:rsidRDefault="002E1FFD" w:rsidP="002E1FFD">
      <w:r w:rsidRPr="002E1FFD">
        <w:t xml:space="preserve">Vi ønsker presisering på hvordan roller og ansvarsforhold skal reguleres/tolkes i </w:t>
      </w:r>
      <w:proofErr w:type="spellStart"/>
      <w:r w:rsidRPr="002E1FFD">
        <w:t>S</w:t>
      </w:r>
      <w:r w:rsidR="008A1959">
        <w:t>o</w:t>
      </w:r>
      <w:r w:rsidRPr="002E1FFD">
        <w:t>HO</w:t>
      </w:r>
      <w:proofErr w:type="spellEnd"/>
      <w:r w:rsidRPr="002E1FFD">
        <w:t>-forordningen.</w:t>
      </w:r>
    </w:p>
    <w:p w14:paraId="5255DBE8" w14:textId="38401755" w:rsidR="002E1FFD" w:rsidRDefault="002E1FFD" w:rsidP="002E1FFD">
      <w:r w:rsidRPr="002E1FFD">
        <w:t xml:space="preserve"> Bakgrunnen for dette er uklarhet i tolkningen i dagens regelverk, og at det i artikkel 50 i </w:t>
      </w:r>
      <w:proofErr w:type="spellStart"/>
      <w:r w:rsidRPr="002E1FFD">
        <w:t>S</w:t>
      </w:r>
      <w:r w:rsidR="000116FA">
        <w:t>o</w:t>
      </w:r>
      <w:r w:rsidRPr="002E1FFD">
        <w:t>HO</w:t>
      </w:r>
      <w:proofErr w:type="spellEnd"/>
      <w:r w:rsidRPr="002E1FFD">
        <w:t xml:space="preserve">-forordningen ikke ser ut til å stilles krav til at’ </w:t>
      </w:r>
      <w:proofErr w:type="spellStart"/>
      <w:r w:rsidRPr="002E1FFD">
        <w:t>physician</w:t>
      </w:r>
      <w:proofErr w:type="spellEnd"/>
      <w:r w:rsidRPr="002E1FFD">
        <w:t>’ har beslutningsmyndighet. </w:t>
      </w:r>
    </w:p>
    <w:p w14:paraId="2BA76380" w14:textId="66C29833" w:rsidR="002E1FFD" w:rsidRPr="002E1FFD" w:rsidRDefault="002E1FFD" w:rsidP="002E1FFD">
      <w:r w:rsidRPr="002E1FFD">
        <w:t>Vil artikkel 36 om </w:t>
      </w:r>
      <w:proofErr w:type="spellStart"/>
      <w:r w:rsidRPr="002E1FFD">
        <w:rPr>
          <w:i/>
          <w:iCs/>
        </w:rPr>
        <w:t>Responsible</w:t>
      </w:r>
      <w:proofErr w:type="spellEnd"/>
      <w:r w:rsidRPr="002E1FFD">
        <w:rPr>
          <w:i/>
          <w:iCs/>
        </w:rPr>
        <w:t xml:space="preserve"> Person</w:t>
      </w:r>
      <w:r w:rsidRPr="002E1FFD">
        <w:t xml:space="preserve"> i </w:t>
      </w:r>
      <w:proofErr w:type="spellStart"/>
      <w:r w:rsidRPr="002E1FFD">
        <w:t>SoHO</w:t>
      </w:r>
      <w:proofErr w:type="spellEnd"/>
      <w:r w:rsidRPr="002E1FFD">
        <w:t>-forordningen bli fortolket på tilsvarende måte som dagens regelverk/ Forskrift om krav til kvalitet og sikkerhet ved håndtering av humane celler og vev § 6 annet ledd?</w:t>
      </w:r>
    </w:p>
    <w:p w14:paraId="2C79C8A6" w14:textId="77777777" w:rsidR="00D935D3" w:rsidRDefault="002E1FFD" w:rsidP="002E1FFD">
      <w:r w:rsidRPr="002E1FFD">
        <w:t> Vi ønsker også en avklaring av hvordan rollen som "</w:t>
      </w:r>
      <w:proofErr w:type="spellStart"/>
      <w:r w:rsidRPr="002E1FFD">
        <w:rPr>
          <w:i/>
          <w:iCs/>
        </w:rPr>
        <w:t>physician</w:t>
      </w:r>
      <w:proofErr w:type="spellEnd"/>
      <w:r w:rsidRPr="002E1FFD">
        <w:t>" etter artikkel 50 i SOHO forordningen skal innpasses i helseforetakenes modell for enhetlig ledelse.</w:t>
      </w:r>
    </w:p>
    <w:p w14:paraId="4C86F4A1" w14:textId="77777777" w:rsidR="00AA74CC" w:rsidRDefault="002E1FFD" w:rsidP="002E1FFD">
      <w:r w:rsidRPr="002E1FFD">
        <w:t xml:space="preserve"> Det synes ikke som det er et krav i artikkel 50 at "</w:t>
      </w:r>
      <w:proofErr w:type="spellStart"/>
      <w:r w:rsidRPr="002E1FFD">
        <w:rPr>
          <w:i/>
          <w:iCs/>
        </w:rPr>
        <w:t>physician</w:t>
      </w:r>
      <w:proofErr w:type="spellEnd"/>
      <w:r w:rsidRPr="002E1FFD">
        <w:t>" må være del av ledelseslinjen, men legen må ha tilstrekkelig faglig uavhengighet, formell myndighet, reell mulighet til påvirke aktivitet når medisinskfaglige krav tilsier det.</w:t>
      </w:r>
    </w:p>
    <w:p w14:paraId="373F8ADA" w14:textId="77777777" w:rsidR="00AA74CC" w:rsidRDefault="002E1FFD" w:rsidP="002E1FFD">
      <w:r w:rsidRPr="002E1FFD">
        <w:t xml:space="preserve"> Hvilke medisinskfaglige beslutninger mener myndighetene skal være forbeholdt </w:t>
      </w:r>
      <w:proofErr w:type="spellStart"/>
      <w:r w:rsidRPr="002E1FFD">
        <w:rPr>
          <w:i/>
          <w:iCs/>
        </w:rPr>
        <w:t>physician</w:t>
      </w:r>
      <w:proofErr w:type="spellEnd"/>
      <w:r w:rsidRPr="002E1FFD">
        <w:t> etter artikkel 50?</w:t>
      </w:r>
    </w:p>
    <w:p w14:paraId="6EE658F9" w14:textId="7063945C" w:rsidR="002E1FFD" w:rsidRPr="002E1FFD" w:rsidRDefault="002E1FFD" w:rsidP="002E1FFD">
      <w:r w:rsidRPr="002E1FFD">
        <w:t xml:space="preserve"> Dersom </w:t>
      </w:r>
      <w:proofErr w:type="spellStart"/>
      <w:r w:rsidRPr="002E1FFD">
        <w:rPr>
          <w:i/>
          <w:iCs/>
        </w:rPr>
        <w:t>physician</w:t>
      </w:r>
      <w:proofErr w:type="spellEnd"/>
      <w:r w:rsidRPr="002E1FFD">
        <w:t> ikke inngår i ledelseslinjen og heller ikke gis selvstendig beslutningsmyndighet innen sitt ansvarsområde, hvordan vurderes det at kravene i artikkel 50 kan oppfylles?</w:t>
      </w:r>
    </w:p>
    <w:p w14:paraId="3BBC08C3" w14:textId="026BEC02" w:rsidR="002E1FFD" w:rsidRDefault="002E1FFD" w:rsidP="002E1FFD">
      <w:r w:rsidRPr="002E1FFD">
        <w:t> Vi etterlyser presiseringer av grenseflaten mellom leder, </w:t>
      </w:r>
      <w:proofErr w:type="spellStart"/>
      <w:r w:rsidRPr="002E1FFD">
        <w:rPr>
          <w:i/>
          <w:iCs/>
        </w:rPr>
        <w:t>Responsible</w:t>
      </w:r>
      <w:proofErr w:type="spellEnd"/>
      <w:r w:rsidRPr="002E1FFD">
        <w:rPr>
          <w:i/>
          <w:iCs/>
        </w:rPr>
        <w:t xml:space="preserve"> person</w:t>
      </w:r>
      <w:r w:rsidRPr="002E1FFD">
        <w:t xml:space="preserve"> (artikkel 36, </w:t>
      </w:r>
      <w:proofErr w:type="spellStart"/>
      <w:r w:rsidRPr="002E1FFD">
        <w:t>S</w:t>
      </w:r>
      <w:r w:rsidR="008738BF">
        <w:t>o</w:t>
      </w:r>
      <w:r w:rsidRPr="002E1FFD">
        <w:t>HO</w:t>
      </w:r>
      <w:proofErr w:type="spellEnd"/>
      <w:r w:rsidRPr="002E1FFD">
        <w:t>) og </w:t>
      </w:r>
      <w:proofErr w:type="spellStart"/>
      <w:r w:rsidRPr="002E1FFD">
        <w:rPr>
          <w:i/>
          <w:iCs/>
        </w:rPr>
        <w:t>Physician</w:t>
      </w:r>
      <w:proofErr w:type="spellEnd"/>
      <w:r w:rsidRPr="002E1FFD">
        <w:rPr>
          <w:i/>
          <w:iCs/>
        </w:rPr>
        <w:t xml:space="preserve"> (</w:t>
      </w:r>
      <w:r w:rsidRPr="002E1FFD">
        <w:t xml:space="preserve">artikkel 50, </w:t>
      </w:r>
      <w:proofErr w:type="spellStart"/>
      <w:r w:rsidRPr="002E1FFD">
        <w:t>S</w:t>
      </w:r>
      <w:r w:rsidR="008738BF">
        <w:t>o</w:t>
      </w:r>
      <w:r w:rsidRPr="002E1FFD">
        <w:t>HO</w:t>
      </w:r>
      <w:proofErr w:type="spellEnd"/>
      <w:r w:rsidRPr="002E1FFD">
        <w:t>) slik at rolle- og ansvarsfordelingen blir tydelig i en styringsmodell som organiseres etter prinsippet om enhetlig ledelse og at dette kommer tydelig frem av lovgivningen.</w:t>
      </w:r>
    </w:p>
    <w:p w14:paraId="4DCD14C7" w14:textId="77777777" w:rsidR="00C9129A" w:rsidRDefault="00C9129A" w:rsidP="002E1FFD"/>
    <w:p w14:paraId="537B3391" w14:textId="3842CDE7" w:rsidR="00173E82" w:rsidRPr="003A24CF" w:rsidRDefault="00173E82" w:rsidP="003A24CF">
      <w:pPr>
        <w:pStyle w:val="Listeavsnitt"/>
        <w:numPr>
          <w:ilvl w:val="0"/>
          <w:numId w:val="3"/>
        </w:numPr>
        <w:rPr>
          <w:b/>
          <w:bCs/>
        </w:rPr>
      </w:pPr>
      <w:r w:rsidRPr="003A24CF">
        <w:rPr>
          <w:b/>
          <w:bCs/>
        </w:rPr>
        <w:t xml:space="preserve">Punkt 4.4.4.2 Samtykke + punkt 14.1 </w:t>
      </w:r>
      <w:proofErr w:type="gramStart"/>
      <w:r w:rsidRPr="003A24CF">
        <w:rPr>
          <w:b/>
          <w:bCs/>
        </w:rPr>
        <w:t>Lovutkast,  §</w:t>
      </w:r>
      <w:proofErr w:type="gramEnd"/>
      <w:r w:rsidRPr="003A24CF">
        <w:rPr>
          <w:b/>
          <w:bCs/>
        </w:rPr>
        <w:t>8 Samtykke</w:t>
      </w:r>
    </w:p>
    <w:p w14:paraId="58FC23C4" w14:textId="580FD2BF" w:rsidR="00972F2B" w:rsidRDefault="003A24CF" w:rsidP="002702D5">
      <w:pPr>
        <w:pStyle w:val="Listeavsnitt"/>
        <w:ind w:left="1080"/>
      </w:pPr>
      <w:r>
        <w:t xml:space="preserve">Er det </w:t>
      </w:r>
      <w:r w:rsidR="00D7572B">
        <w:t xml:space="preserve">både blodgiver og pasient som må gi </w:t>
      </w:r>
      <w:r w:rsidR="00630773">
        <w:t xml:space="preserve">skriftlig </w:t>
      </w:r>
      <w:proofErr w:type="gramStart"/>
      <w:r w:rsidR="00630773">
        <w:t>samtykke?</w:t>
      </w:r>
      <w:r w:rsidR="00B5575F">
        <w:t>(</w:t>
      </w:r>
      <w:proofErr w:type="gramEnd"/>
      <w:r w:rsidR="00972F2B">
        <w:t xml:space="preserve"> </w:t>
      </w:r>
      <w:r w:rsidR="00C86E5E">
        <w:t>B</w:t>
      </w:r>
      <w:r w:rsidR="00972F2B" w:rsidRPr="00173E82">
        <w:t xml:space="preserve">lodgiver som må gi skriftlig samtykke til å </w:t>
      </w:r>
      <w:proofErr w:type="spellStart"/>
      <w:r w:rsidR="00972F2B" w:rsidRPr="00173E82">
        <w:t>donore</w:t>
      </w:r>
      <w:proofErr w:type="spellEnd"/>
      <w:r w:rsidR="00972F2B" w:rsidRPr="00173E82">
        <w:t xml:space="preserve"> og at blodet kan brukes</w:t>
      </w:r>
      <w:r w:rsidR="00C86E5E">
        <w:t xml:space="preserve"> og </w:t>
      </w:r>
      <w:r w:rsidR="00972F2B" w:rsidRPr="00173E82">
        <w:t xml:space="preserve">mottaker (pasienten) må gi skriftlig </w:t>
      </w:r>
      <w:r w:rsidR="006E3234">
        <w:t xml:space="preserve">informert </w:t>
      </w:r>
      <w:r w:rsidR="00972F2B" w:rsidRPr="00173E82">
        <w:t>samtykke</w:t>
      </w:r>
      <w:r w:rsidR="00A13795">
        <w:t xml:space="preserve"> for å motta blodprodukt</w:t>
      </w:r>
      <w:r w:rsidR="00B5575F">
        <w:t>)</w:t>
      </w:r>
      <w:r w:rsidR="00C9129A">
        <w:t>.</w:t>
      </w:r>
    </w:p>
    <w:p w14:paraId="1DA9E88F" w14:textId="77777777" w:rsidR="00173E82" w:rsidRPr="00173E82" w:rsidRDefault="00173E82" w:rsidP="00173E82">
      <w:r w:rsidRPr="00173E82">
        <w:lastRenderedPageBreak/>
        <w:t> </w:t>
      </w:r>
    </w:p>
    <w:p w14:paraId="1A4B780A" w14:textId="79E5D132" w:rsidR="00173E82" w:rsidRPr="00173E82" w:rsidRDefault="00173E82" w:rsidP="008F5862">
      <w:pPr>
        <w:pStyle w:val="Listeavsnitt"/>
        <w:numPr>
          <w:ilvl w:val="0"/>
          <w:numId w:val="3"/>
        </w:numPr>
      </w:pPr>
      <w:r w:rsidRPr="008F5862">
        <w:rPr>
          <w:b/>
          <w:bCs/>
        </w:rPr>
        <w:t>Punkt 5.2. Administrative endringer </w:t>
      </w:r>
    </w:p>
    <w:p w14:paraId="5C48D30D" w14:textId="6766091B" w:rsidR="00173E82" w:rsidRPr="00173E82" w:rsidRDefault="00173E82" w:rsidP="003870E0">
      <w:pPr>
        <w:ind w:left="708"/>
      </w:pPr>
      <w:r w:rsidRPr="00173E82">
        <w:t xml:space="preserve">Vi støtter </w:t>
      </w:r>
      <w:proofErr w:type="spellStart"/>
      <w:r w:rsidR="003870E0">
        <w:t>Direktorate</w:t>
      </w:r>
      <w:proofErr w:type="spellEnd"/>
      <w:r w:rsidR="003870E0">
        <w:t xml:space="preserve"> for medisinske produktet</w:t>
      </w:r>
      <w:r w:rsidR="00056AF0">
        <w:t xml:space="preserve"> </w:t>
      </w:r>
      <w:r w:rsidR="003870E0">
        <w:t>(DMP)</w:t>
      </w:r>
      <w:r w:rsidRPr="00173E82">
        <w:t xml:space="preserve"> som nasjonal </w:t>
      </w:r>
      <w:proofErr w:type="spellStart"/>
      <w:r w:rsidRPr="00173E82">
        <w:t>SoHO</w:t>
      </w:r>
      <w:proofErr w:type="spellEnd"/>
      <w:r w:rsidRPr="00173E82">
        <w:t>-myndighet og ser det som naturlig at DMP også får ansvaret for bestemmelsene om utvelgelse av blodgivere, som i dag ligger hos Helsedirektoratet.  </w:t>
      </w:r>
    </w:p>
    <w:p w14:paraId="47FB8A45" w14:textId="422192C9" w:rsidR="00173E82" w:rsidRPr="00173E82" w:rsidRDefault="00173E82" w:rsidP="00173E82">
      <w:r w:rsidRPr="00173E82">
        <w:t> </w:t>
      </w:r>
    </w:p>
    <w:p w14:paraId="17F448B8" w14:textId="36EC8D42" w:rsidR="00173E82" w:rsidRPr="00173E82" w:rsidRDefault="00173E82" w:rsidP="003870E0">
      <w:pPr>
        <w:pStyle w:val="Listeavsnitt"/>
        <w:numPr>
          <w:ilvl w:val="0"/>
          <w:numId w:val="3"/>
        </w:numPr>
      </w:pPr>
      <w:r w:rsidRPr="003870E0">
        <w:rPr>
          <w:b/>
          <w:bCs/>
        </w:rPr>
        <w:t>Punkt 5.3 Beredskap og forsyningssikkerhet </w:t>
      </w:r>
    </w:p>
    <w:p w14:paraId="538EABE6" w14:textId="34E97EE7" w:rsidR="00173E82" w:rsidRPr="00173E82" w:rsidRDefault="00C9129A" w:rsidP="00173E82">
      <w:r>
        <w:t xml:space="preserve">                  </w:t>
      </w:r>
      <w:r w:rsidR="00173E82" w:rsidRPr="00173E82">
        <w:t xml:space="preserve">Vi støtter </w:t>
      </w:r>
      <w:proofErr w:type="spellStart"/>
      <w:r w:rsidR="00173E82" w:rsidRPr="00173E82">
        <w:t>NokBlods</w:t>
      </w:r>
      <w:proofErr w:type="spellEnd"/>
      <w:r w:rsidR="00173E82" w:rsidRPr="00173E82">
        <w:t xml:space="preserve"> innspill til artikkel 62 om at arbeidet med faglige veiledere for bruk av blod og blodprodukter bør styrkes og prioriteres, inkludert faglig veileder for </w:t>
      </w:r>
      <w:r>
        <w:t xml:space="preserve">                            </w:t>
      </w:r>
      <w:r w:rsidR="00952331">
        <w:t xml:space="preserve">                          </w:t>
      </w:r>
      <w:r w:rsidR="00173E82" w:rsidRPr="00173E82">
        <w:t xml:space="preserve">bruk av IVIG og utarbeidelse av et nasjonalt </w:t>
      </w:r>
      <w:proofErr w:type="spellStart"/>
      <w:r w:rsidR="00056AF0">
        <w:t>Patient</w:t>
      </w:r>
      <w:proofErr w:type="spellEnd"/>
      <w:r w:rsidR="00056AF0">
        <w:t xml:space="preserve"> Blood Management</w:t>
      </w:r>
      <w:r w:rsidR="00C967C2">
        <w:t xml:space="preserve"> </w:t>
      </w:r>
      <w:proofErr w:type="gramStart"/>
      <w:r w:rsidR="00C967C2">
        <w:t xml:space="preserve">( </w:t>
      </w:r>
      <w:r w:rsidR="00173E82" w:rsidRPr="00173E82">
        <w:t>PBM</w:t>
      </w:r>
      <w:proofErr w:type="gramEnd"/>
      <w:r w:rsidR="00C967C2">
        <w:t xml:space="preserve">) </w:t>
      </w:r>
      <w:r w:rsidR="00173E82" w:rsidRPr="00173E82">
        <w:t>-program. </w:t>
      </w:r>
    </w:p>
    <w:p w14:paraId="23657E8F" w14:textId="77777777" w:rsidR="00173E82" w:rsidRPr="00173E82" w:rsidRDefault="00173E82" w:rsidP="00173E82">
      <w:r w:rsidRPr="00173E82">
        <w:t> </w:t>
      </w:r>
    </w:p>
    <w:p w14:paraId="07B4EBED" w14:textId="236793CC" w:rsidR="00173E82" w:rsidRPr="00173E82" w:rsidRDefault="00173E82" w:rsidP="00C967C2">
      <w:pPr>
        <w:pStyle w:val="Listeavsnitt"/>
        <w:numPr>
          <w:ilvl w:val="0"/>
          <w:numId w:val="3"/>
        </w:numPr>
      </w:pPr>
      <w:r w:rsidRPr="00C967C2">
        <w:rPr>
          <w:b/>
          <w:bCs/>
        </w:rPr>
        <w:t>Punkt 8. 8. Adgangen til å fastsette gebyrer og avgifter </w:t>
      </w:r>
    </w:p>
    <w:p w14:paraId="7E2F3EC3" w14:textId="77777777" w:rsidR="00952331" w:rsidRDefault="00C967C2" w:rsidP="00173E82">
      <w:r>
        <w:t xml:space="preserve">            Vi </w:t>
      </w:r>
      <w:r w:rsidR="00173E82" w:rsidRPr="00173E82">
        <w:t xml:space="preserve">er </w:t>
      </w:r>
      <w:proofErr w:type="gramStart"/>
      <w:r w:rsidR="00173E82" w:rsidRPr="00173E82">
        <w:t>kritisk</w:t>
      </w:r>
      <w:proofErr w:type="gramEnd"/>
      <w:r w:rsidR="00173E82" w:rsidRPr="00173E82">
        <w:t xml:space="preserve"> til at blodbankene kan bli ilagt gebyrer knyttet til søknadsbehandling og tilsyn som </w:t>
      </w:r>
      <w:proofErr w:type="spellStart"/>
      <w:r w:rsidR="00173E82" w:rsidRPr="00173E82">
        <w:t>SoH</w:t>
      </w:r>
      <w:r>
        <w:t>O</w:t>
      </w:r>
      <w:proofErr w:type="spellEnd"/>
      <w:r w:rsidR="00173E82" w:rsidRPr="00173E82">
        <w:t xml:space="preserve"> gjør det lovpålagt å gjennomgå.</w:t>
      </w:r>
    </w:p>
    <w:p w14:paraId="42CB8A83" w14:textId="0F605828" w:rsidR="00173E82" w:rsidRPr="00173E82" w:rsidRDefault="00952331" w:rsidP="00173E82">
      <w:r>
        <w:t xml:space="preserve">           </w:t>
      </w:r>
      <w:r w:rsidR="00173E82" w:rsidRPr="00173E82">
        <w:t xml:space="preserve"> Skal vi betale for å få drive virksomheten vår på godkjent måte? </w:t>
      </w:r>
    </w:p>
    <w:p w14:paraId="723CB4E4" w14:textId="61D6ED44" w:rsidR="00173E82" w:rsidRPr="00173E82" w:rsidRDefault="00173E82" w:rsidP="00173E82">
      <w:r w:rsidRPr="00173E82">
        <w:t> </w:t>
      </w:r>
    </w:p>
    <w:p w14:paraId="1DF493D4" w14:textId="385B928A" w:rsidR="00173E82" w:rsidRPr="00173E82" w:rsidRDefault="00173E82" w:rsidP="00DE04BD">
      <w:pPr>
        <w:pStyle w:val="Listeavsnitt"/>
        <w:numPr>
          <w:ilvl w:val="0"/>
          <w:numId w:val="3"/>
        </w:numPr>
      </w:pPr>
      <w:r w:rsidRPr="00DE04BD">
        <w:rPr>
          <w:b/>
          <w:bCs/>
        </w:rPr>
        <w:t>Generelt om økonomi:</w:t>
      </w:r>
    </w:p>
    <w:p w14:paraId="4AD7EF60" w14:textId="0F374177" w:rsidR="00173E82" w:rsidRDefault="00DE04BD" w:rsidP="00173E82">
      <w:r>
        <w:t xml:space="preserve">               </w:t>
      </w:r>
      <w:r w:rsidR="00173E82" w:rsidRPr="00173E82">
        <w:t xml:space="preserve">Det kommer flere krav og anbefalinger som kommer til å koste mye, inkludert økt selvforsyning av plasma, NAT-testing og større krav til beredskap. Det foreslås blant annet midler til en egen beredskapskoordinator i blodbankene. Høringsnotatet beskriver økt ressursbruk og estimering av kostnader for myndighetene i punkt 11, men ikke noe tilsvarende for </w:t>
      </w:r>
      <w:proofErr w:type="spellStart"/>
      <w:r w:rsidR="00173E82" w:rsidRPr="00173E82">
        <w:t>SoHO</w:t>
      </w:r>
      <w:proofErr w:type="spellEnd"/>
      <w:r w:rsidR="00173E82" w:rsidRPr="00173E82">
        <w:t xml:space="preserve">-virksomhetene. Det er kanskje litt på siden av lov/forskrift, men det kan være en anledning til å peke på økte kostnader i forbindelse med </w:t>
      </w:r>
      <w:proofErr w:type="spellStart"/>
      <w:r w:rsidR="00173E82" w:rsidRPr="00173E82">
        <w:t>SoHO</w:t>
      </w:r>
      <w:proofErr w:type="spellEnd"/>
      <w:r w:rsidR="00173E82" w:rsidRPr="00173E82">
        <w:t>. Hvis vi blir pålagt fra myndighetene flere oppgaver og tester, bør vi få tilført tilsvarende ressurser.</w:t>
      </w:r>
    </w:p>
    <w:p w14:paraId="5FD1D238" w14:textId="0F7A94A0" w:rsidR="002702D5" w:rsidRPr="002702D5" w:rsidRDefault="002702D5" w:rsidP="002702D5">
      <w:pPr>
        <w:pStyle w:val="Listeavsnitt"/>
        <w:numPr>
          <w:ilvl w:val="0"/>
          <w:numId w:val="3"/>
        </w:numPr>
        <w:rPr>
          <w:b/>
          <w:bCs/>
        </w:rPr>
      </w:pPr>
      <w:r w:rsidRPr="002702D5">
        <w:rPr>
          <w:b/>
          <w:bCs/>
        </w:rPr>
        <w:t>BEREDSKAP</w:t>
      </w:r>
    </w:p>
    <w:p w14:paraId="5ACBFA53" w14:textId="7B6DA9A9" w:rsidR="0069442C" w:rsidRPr="00173E82" w:rsidRDefault="0069442C" w:rsidP="00991B32">
      <w:pPr>
        <w:pStyle w:val="Listeavsnitt"/>
        <w:ind w:left="1080"/>
      </w:pPr>
      <w:r w:rsidRPr="002F0026">
        <w:t>Økt plasmatapping er viktig for beredskap, men dette må ses i sammenheng med muligheten for fraksjonering og samarbeid i Norden. Det er ikke tilstrekkelig å øke tappingen dersom Norge fortsatt er avhengig av store kommersielle aktører for videre fraksjonering og produksjon av plasmaderiverte legemidler. Det bør gis en sterkere og samlet anbefaling om egen produksjon og fraksjonering av plasma, eventuelt gjennom nordisk samarbeid. Økt plasmatapping må ses i sammenheng med faktisk tilgang til fraksjonering og produksjon av plasmaderiverte legemidler, slik at beredskapstiltaket får praktisk betydning.</w:t>
      </w:r>
    </w:p>
    <w:p w14:paraId="59071B07" w14:textId="77777777" w:rsidR="00173E82" w:rsidRPr="001B4A95" w:rsidRDefault="00173E82" w:rsidP="00173E82">
      <w:pPr>
        <w:rPr>
          <w:b/>
          <w:bCs/>
        </w:rPr>
      </w:pPr>
      <w:r w:rsidRPr="00173E82">
        <w:lastRenderedPageBreak/>
        <w:t> </w:t>
      </w:r>
    </w:p>
    <w:p w14:paraId="4E4E933E" w14:textId="77777777" w:rsidR="001B4A95" w:rsidRDefault="002F0026" w:rsidP="001B4A95">
      <w:pPr>
        <w:pStyle w:val="Listeavsnitt"/>
        <w:numPr>
          <w:ilvl w:val="0"/>
          <w:numId w:val="3"/>
        </w:numPr>
      </w:pPr>
      <w:r w:rsidRPr="001B4A95">
        <w:rPr>
          <w:b/>
          <w:bCs/>
        </w:rPr>
        <w:t>Side 23</w:t>
      </w:r>
      <w:r w:rsidRPr="002F0026">
        <w:t xml:space="preserve">: </w:t>
      </w:r>
    </w:p>
    <w:p w14:paraId="01CBCD3D" w14:textId="005B638D" w:rsidR="002F0026" w:rsidRPr="002F0026" w:rsidRDefault="00991B32" w:rsidP="001B4A95">
      <w:pPr>
        <w:pStyle w:val="Listeavsnitt"/>
        <w:ind w:left="1080"/>
      </w:pPr>
      <w:r>
        <w:t>D</w:t>
      </w:r>
      <w:r w:rsidR="002F0026" w:rsidRPr="002F0026">
        <w:t>et bør presiseres om listen over substanser er offentliggjort. Dersom listen ikke er offentlig tilgjengelig, bør det fremgå hvordan den skal forvaltes og gjøres kjent for relevante fagmiljøer.</w:t>
      </w:r>
    </w:p>
    <w:p w14:paraId="1CCF22A3" w14:textId="51709A76" w:rsidR="00991B32" w:rsidRDefault="002F0026" w:rsidP="00991B32">
      <w:pPr>
        <w:pStyle w:val="Listeavsnitt"/>
        <w:numPr>
          <w:ilvl w:val="0"/>
          <w:numId w:val="3"/>
        </w:numPr>
      </w:pPr>
      <w:r w:rsidRPr="00991B32">
        <w:rPr>
          <w:b/>
          <w:bCs/>
        </w:rPr>
        <w:t>Side 71 og 74</w:t>
      </w:r>
      <w:r w:rsidRPr="002F0026">
        <w:t xml:space="preserve">: </w:t>
      </w:r>
    </w:p>
    <w:p w14:paraId="028D403B" w14:textId="69848AD6" w:rsidR="002F0026" w:rsidRPr="002F0026" w:rsidRDefault="002F0026" w:rsidP="00991B32">
      <w:pPr>
        <w:pStyle w:val="Listeavsnitt"/>
        <w:ind w:left="1080"/>
      </w:pPr>
      <w:r w:rsidRPr="002F0026">
        <w:t xml:space="preserve">Omtalen av NAT-testing bør utdypes. Det bør </w:t>
      </w:r>
      <w:proofErr w:type="gramStart"/>
      <w:r w:rsidRPr="002F0026">
        <w:t>fremgå</w:t>
      </w:r>
      <w:proofErr w:type="gramEnd"/>
      <w:r w:rsidRPr="002F0026">
        <w:t xml:space="preserve"> om NAT-testing forventes innført som krav, samt hvilke konsekvenser dette får for organisering, ressursbruk og økonomi.</w:t>
      </w:r>
    </w:p>
    <w:p w14:paraId="214FF3E3" w14:textId="77777777" w:rsidR="00991B32" w:rsidRDefault="002F0026" w:rsidP="00991B32">
      <w:pPr>
        <w:pStyle w:val="Listeavsnitt"/>
        <w:numPr>
          <w:ilvl w:val="0"/>
          <w:numId w:val="3"/>
        </w:numPr>
      </w:pPr>
      <w:r w:rsidRPr="00991B32">
        <w:rPr>
          <w:b/>
          <w:bCs/>
        </w:rPr>
        <w:t>Side 108</w:t>
      </w:r>
      <w:r w:rsidRPr="002F0026">
        <w:t xml:space="preserve">: </w:t>
      </w:r>
    </w:p>
    <w:p w14:paraId="7FE5CB35" w14:textId="27C73BDA" w:rsidR="002F0026" w:rsidRPr="002F0026" w:rsidRDefault="002F0026" w:rsidP="007F75F7">
      <w:pPr>
        <w:pStyle w:val="Listeavsnitt"/>
        <w:ind w:left="1080"/>
      </w:pPr>
      <w:r w:rsidRPr="002F0026">
        <w:t>Det står at fagmiljøet, gjennom veileder for transfusjonstjenesten, skal utarbeide sykdomslisten og legemiddellisten. Det bør avklares hvordan øvrige anbefalinger som tidligere var en del av veilederen, skal ivaretas.</w:t>
      </w:r>
    </w:p>
    <w:p w14:paraId="7CA3970B" w14:textId="77777777" w:rsidR="007F75F7" w:rsidRPr="007F75F7" w:rsidRDefault="007F75F7" w:rsidP="00991B32">
      <w:pPr>
        <w:numPr>
          <w:ilvl w:val="0"/>
          <w:numId w:val="3"/>
        </w:numPr>
        <w:tabs>
          <w:tab w:val="num" w:pos="720"/>
        </w:tabs>
      </w:pPr>
      <w:r w:rsidRPr="007F75F7">
        <w:rPr>
          <w:b/>
          <w:bCs/>
        </w:rPr>
        <w:t>Transfusjonsrådet</w:t>
      </w:r>
      <w:r>
        <w:rPr>
          <w:b/>
          <w:bCs/>
        </w:rPr>
        <w:t>:</w:t>
      </w:r>
    </w:p>
    <w:p w14:paraId="2DB1B4CC" w14:textId="50197B7F" w:rsidR="002F0026" w:rsidRPr="002F0026" w:rsidRDefault="002F0026" w:rsidP="007F75F7">
      <w:pPr>
        <w:ind w:left="1080"/>
      </w:pPr>
      <w:r w:rsidRPr="002F0026">
        <w:t>Transfusjonsrådet bør omtales nærmere. Dersom rådet er tiltenkt en rolle i oppfølgingen, bør mandat, funksjon og praktisk gjennomføring avklares, særlig ettersom rådet per i dag ikke fungerer etter hensikten.</w:t>
      </w:r>
    </w:p>
    <w:p w14:paraId="4F34A75D" w14:textId="77777777" w:rsidR="00514DD7" w:rsidRDefault="002F0026" w:rsidP="00991B32">
      <w:pPr>
        <w:numPr>
          <w:ilvl w:val="0"/>
          <w:numId w:val="3"/>
        </w:numPr>
        <w:tabs>
          <w:tab w:val="num" w:pos="720"/>
        </w:tabs>
      </w:pPr>
      <w:r w:rsidRPr="00514DD7">
        <w:rPr>
          <w:b/>
          <w:bCs/>
        </w:rPr>
        <w:t>Blodbusser</w:t>
      </w:r>
      <w:r w:rsidR="00514DD7" w:rsidRPr="00514DD7">
        <w:rPr>
          <w:b/>
          <w:bCs/>
        </w:rPr>
        <w:t>/mobil tappeenhet</w:t>
      </w:r>
    </w:p>
    <w:p w14:paraId="1571D4BF" w14:textId="6B808DB9" w:rsidR="002F0026" w:rsidRPr="002F0026" w:rsidRDefault="00514DD7" w:rsidP="00514DD7">
      <w:pPr>
        <w:ind w:left="1080"/>
      </w:pPr>
      <w:r>
        <w:t>De</w:t>
      </w:r>
      <w:r w:rsidR="00A36E71">
        <w:t>t</w:t>
      </w:r>
      <w:r w:rsidR="002F0026" w:rsidRPr="002F0026">
        <w:t xml:space="preserve"> bør vurderes som et beredskapstiltak som også kan innføres i andre områder. Norge har per i dag to blodbusser, én i Oslo og én i Bergen</w:t>
      </w:r>
      <w:r w:rsidR="00A36E71">
        <w:t xml:space="preserve"> og en mobil tappeenhe</w:t>
      </w:r>
      <w:r w:rsidR="001C09DB">
        <w:t>t i Stavanger.</w:t>
      </w:r>
      <w:r w:rsidR="002F0026" w:rsidRPr="002F0026">
        <w:t xml:space="preserve"> Det bør vurderes om dette er et hensiktsmessig tiltak for å styrke tilgjengelighet, rekruttering og beredskap også andre steder i landet.</w:t>
      </w:r>
    </w:p>
    <w:p w14:paraId="2E8F38D4" w14:textId="77777777" w:rsidR="008215BE" w:rsidRDefault="002F0026" w:rsidP="00991B32">
      <w:pPr>
        <w:numPr>
          <w:ilvl w:val="0"/>
          <w:numId w:val="3"/>
        </w:numPr>
        <w:tabs>
          <w:tab w:val="num" w:pos="720"/>
        </w:tabs>
      </w:pPr>
      <w:r w:rsidRPr="00E23FC8">
        <w:rPr>
          <w:b/>
          <w:bCs/>
        </w:rPr>
        <w:t>Blodberedskapsenheter</w:t>
      </w:r>
    </w:p>
    <w:p w14:paraId="4AFB66AC" w14:textId="40977A31" w:rsidR="002F0026" w:rsidRPr="002F0026" w:rsidRDefault="008215BE" w:rsidP="008215BE">
      <w:pPr>
        <w:ind w:left="1080"/>
      </w:pPr>
      <w:r>
        <w:t>Blodberedskapsenheter</w:t>
      </w:r>
      <w:r w:rsidR="002F0026" w:rsidRPr="002F0026">
        <w:t xml:space="preserve"> herunder </w:t>
      </w:r>
      <w:proofErr w:type="spellStart"/>
      <w:r w:rsidR="002F0026" w:rsidRPr="002F0026">
        <w:t>walking</w:t>
      </w:r>
      <w:proofErr w:type="spellEnd"/>
      <w:r w:rsidR="002F0026" w:rsidRPr="002F0026">
        <w:t xml:space="preserve"> </w:t>
      </w:r>
      <w:proofErr w:type="spellStart"/>
      <w:r w:rsidR="002F0026" w:rsidRPr="002F0026">
        <w:t>blood</w:t>
      </w:r>
      <w:proofErr w:type="spellEnd"/>
      <w:r w:rsidR="002F0026" w:rsidRPr="002F0026">
        <w:t xml:space="preserve"> bank, bør omtales tydeligere. Det skrives mye om viktigheten av slike beredskapstiltak, samtidig som blodberedskapsenheten i Finnmark nylig er avviklet. Dette fremstår som en viktig problemstilling som bør belyses nærmere.</w:t>
      </w:r>
    </w:p>
    <w:p w14:paraId="1BE584C2" w14:textId="77777777" w:rsidR="008215BE" w:rsidRDefault="002F0026" w:rsidP="00991B32">
      <w:pPr>
        <w:numPr>
          <w:ilvl w:val="0"/>
          <w:numId w:val="3"/>
        </w:numPr>
        <w:tabs>
          <w:tab w:val="num" w:pos="720"/>
        </w:tabs>
      </w:pPr>
      <w:r w:rsidRPr="008215BE">
        <w:rPr>
          <w:b/>
          <w:bCs/>
        </w:rPr>
        <w:t>Side 115</w:t>
      </w:r>
    </w:p>
    <w:p w14:paraId="299EB2AC" w14:textId="042F0BD4" w:rsidR="002F0026" w:rsidRPr="002F0026" w:rsidRDefault="002F0026" w:rsidP="008215BE">
      <w:pPr>
        <w:ind w:left="1080"/>
      </w:pPr>
      <w:r w:rsidRPr="002F0026">
        <w:t xml:space="preserve"> </w:t>
      </w:r>
      <w:proofErr w:type="spellStart"/>
      <w:r w:rsidRPr="002F0026">
        <w:t>Patient</w:t>
      </w:r>
      <w:proofErr w:type="spellEnd"/>
      <w:r w:rsidRPr="002F0026">
        <w:t xml:space="preserve"> Blood Management (PBM) anbefales på det sterkeste innført som et obligatorisk tiltak, slik </w:t>
      </w:r>
      <w:proofErr w:type="spellStart"/>
      <w:r w:rsidRPr="002F0026">
        <w:t>hemovigilans</w:t>
      </w:r>
      <w:proofErr w:type="spellEnd"/>
      <w:r w:rsidRPr="002F0026">
        <w:t xml:space="preserve"> tidligere ble etablert som et krav. PBM er godt forankret i blodbankenes fagmiljø, blant annet gjennom egen norsk PBM-faggruppe, og bør derfor omtales tydeligere og mer forpliktende.</w:t>
      </w:r>
    </w:p>
    <w:p w14:paraId="1692FA29" w14:textId="1F93C280" w:rsidR="00D1298E" w:rsidRDefault="002F0026" w:rsidP="00991B32">
      <w:pPr>
        <w:numPr>
          <w:ilvl w:val="0"/>
          <w:numId w:val="3"/>
        </w:numPr>
        <w:tabs>
          <w:tab w:val="num" w:pos="720"/>
        </w:tabs>
      </w:pPr>
      <w:r w:rsidRPr="00D1298E">
        <w:rPr>
          <w:b/>
          <w:bCs/>
        </w:rPr>
        <w:t>Side 147</w:t>
      </w:r>
      <w:r w:rsidRPr="002F0026">
        <w:t xml:space="preserve"> </w:t>
      </w:r>
    </w:p>
    <w:p w14:paraId="48393053" w14:textId="5F107CDC" w:rsidR="002F0026" w:rsidRPr="002F0026" w:rsidRDefault="002F0026" w:rsidP="00D1298E">
      <w:pPr>
        <w:ind w:left="1080"/>
      </w:pPr>
      <w:r w:rsidRPr="002F0026">
        <w:t xml:space="preserve">I omtalen av </w:t>
      </w:r>
      <w:proofErr w:type="spellStart"/>
      <w:r w:rsidRPr="002F0026">
        <w:t>vigilans</w:t>
      </w:r>
      <w:proofErr w:type="spellEnd"/>
      <w:r w:rsidRPr="002F0026">
        <w:t xml:space="preserve"> for celler og vev bør underrapportering nevnes som en relevant utfordring. Det lave antallet meldinger til dags dato kan ikke </w:t>
      </w:r>
      <w:r w:rsidRPr="002F0026">
        <w:lastRenderedPageBreak/>
        <w:t>nødvendigvis tolkes som uttrykk for få hendelser, men kan også skyldes underrapportering.</w:t>
      </w:r>
    </w:p>
    <w:p w14:paraId="1CB6DDDA" w14:textId="77777777" w:rsidR="00D1298E" w:rsidRDefault="002F0026" w:rsidP="00991B32">
      <w:pPr>
        <w:numPr>
          <w:ilvl w:val="0"/>
          <w:numId w:val="3"/>
        </w:numPr>
        <w:tabs>
          <w:tab w:val="num" w:pos="720"/>
        </w:tabs>
      </w:pPr>
      <w:r w:rsidRPr="00D1298E">
        <w:rPr>
          <w:b/>
          <w:bCs/>
        </w:rPr>
        <w:t xml:space="preserve">EDQM </w:t>
      </w:r>
    </w:p>
    <w:p w14:paraId="54FFB0B3" w14:textId="21F1699F" w:rsidR="002F0026" w:rsidRDefault="00D1298E" w:rsidP="00D1298E">
      <w:pPr>
        <w:ind w:left="1080"/>
      </w:pPr>
      <w:r>
        <w:t>ED</w:t>
      </w:r>
      <w:r w:rsidR="008A1959">
        <w:t xml:space="preserve">QM </w:t>
      </w:r>
      <w:r w:rsidR="002F0026" w:rsidRPr="002F0026">
        <w:t>bør omtales tydeligere. Standarder og krav fra EDQM kan medføre betydelige økonomiske og praktiske konsekvenser for blodbankene. Den største endringen er innføring av tre dagers gyldighet for pretransfusjonsprøver. Dette vil være både arbeidskrevende og kostbart for blodbankene, blant annet fordi endringen må etableres i de to ulike blodbanksystemene, noe som kan ta tid.</w:t>
      </w:r>
    </w:p>
    <w:p w14:paraId="22AB7520" w14:textId="77777777" w:rsidR="008C253D" w:rsidRPr="008C253D" w:rsidRDefault="00406AE5" w:rsidP="00406AE5">
      <w:pPr>
        <w:pStyle w:val="Listeavsnitt"/>
        <w:numPr>
          <w:ilvl w:val="0"/>
          <w:numId w:val="3"/>
        </w:numPr>
        <w:rPr>
          <w:b/>
          <w:bCs/>
        </w:rPr>
      </w:pPr>
      <w:r>
        <w:t xml:space="preserve"> </w:t>
      </w:r>
      <w:r w:rsidRPr="008C253D">
        <w:rPr>
          <w:b/>
          <w:bCs/>
        </w:rPr>
        <w:t>Nasjonalt register for blodgivere</w:t>
      </w:r>
    </w:p>
    <w:p w14:paraId="765B6837" w14:textId="5384A499" w:rsidR="001B5424" w:rsidRDefault="001B5424" w:rsidP="008C253D">
      <w:pPr>
        <w:pStyle w:val="Listeavsnitt"/>
        <w:ind w:left="1080"/>
      </w:pPr>
      <w:r w:rsidRPr="001B5424">
        <w:t xml:space="preserve">På side 12 i høringsnotatet nevnes artikkel 53 </w:t>
      </w:r>
      <w:proofErr w:type="spellStart"/>
      <w:r w:rsidRPr="001B5424">
        <w:t>nr</w:t>
      </w:r>
      <w:proofErr w:type="spellEnd"/>
      <w:r w:rsidRPr="001B5424">
        <w:t xml:space="preserve"> 3 i forordningen om nasjonalt register for blodgivere.</w:t>
      </w:r>
    </w:p>
    <w:p w14:paraId="7322B658" w14:textId="77777777" w:rsidR="00D01513" w:rsidRDefault="006B3301" w:rsidP="006B3301">
      <w:pPr>
        <w:pStyle w:val="Listeavsnitt"/>
        <w:ind w:left="1080"/>
      </w:pPr>
      <w:r w:rsidRPr="006B3301">
        <w:t xml:space="preserve">Det mangler i dag et nasjonalt register for blodgivere og blodmottakere, og det bør etableres et slikt register. </w:t>
      </w:r>
    </w:p>
    <w:p w14:paraId="259553E8" w14:textId="77777777" w:rsidR="00D01513" w:rsidRDefault="006B3301" w:rsidP="006B3301">
      <w:pPr>
        <w:pStyle w:val="Listeavsnitt"/>
        <w:ind w:left="1080"/>
      </w:pPr>
      <w:r w:rsidRPr="006B3301">
        <w:t>Et nasjonalt register over blodgivere vil styrke beskyttelsen av blodgivere i tråd med artikkel 53 punkt 3, samtidig som det vil forbedre beredskapen ved at givere enklere kan gi blod der de oppholder seg, for eksempel i evakuerings- eller krisesituasjoner.</w:t>
      </w:r>
    </w:p>
    <w:p w14:paraId="1FE22636" w14:textId="15BA427C" w:rsidR="006B3301" w:rsidRDefault="006B3301" w:rsidP="006B3301">
      <w:pPr>
        <w:pStyle w:val="Listeavsnitt"/>
        <w:ind w:left="1080"/>
      </w:pPr>
      <w:r w:rsidRPr="006B3301">
        <w:t xml:space="preserve"> Videre vil et nasjonalt register over blodmottakere, inkludert informasjon om blodtype og irregulære blodtypeantistoffer, bidra til bedre kvalitet på blodprodukter og økt pasientsikkerhet gjennom sikrere og mer effektiv transfusjonsbehandling.</w:t>
      </w:r>
    </w:p>
    <w:p w14:paraId="421BE58D" w14:textId="77777777" w:rsidR="007A4BE7" w:rsidRDefault="007A4BE7" w:rsidP="006B3301">
      <w:pPr>
        <w:pStyle w:val="Listeavsnitt"/>
        <w:ind w:left="1080"/>
      </w:pPr>
    </w:p>
    <w:p w14:paraId="5D1FADCB" w14:textId="77777777" w:rsidR="007A4BE7" w:rsidRDefault="007A4BE7" w:rsidP="006B3301">
      <w:pPr>
        <w:pStyle w:val="Listeavsnitt"/>
        <w:ind w:left="1080"/>
      </w:pPr>
    </w:p>
    <w:p w14:paraId="7B3260D5" w14:textId="69AF20FE" w:rsidR="007A4BE7" w:rsidRDefault="007A4BE7" w:rsidP="006B3301">
      <w:pPr>
        <w:pStyle w:val="Listeavsnitt"/>
        <w:ind w:left="1080"/>
      </w:pPr>
      <w:r>
        <w:t>Med vennlig hilsen</w:t>
      </w:r>
    </w:p>
    <w:p w14:paraId="321B78CF" w14:textId="7DDB33FA" w:rsidR="007A4BE7" w:rsidRPr="006B3301" w:rsidRDefault="007A4BE7" w:rsidP="006B3301">
      <w:pPr>
        <w:pStyle w:val="Listeavsnitt"/>
        <w:ind w:left="1080"/>
      </w:pPr>
      <w:r>
        <w:t>Norsk forening for immunologi og transfusjonsmedisin</w:t>
      </w:r>
    </w:p>
    <w:p w14:paraId="1DBAB469" w14:textId="77777777" w:rsidR="006B3301" w:rsidRPr="001B5424" w:rsidRDefault="006B3301" w:rsidP="008C253D">
      <w:pPr>
        <w:pStyle w:val="Listeavsnitt"/>
        <w:ind w:left="1080"/>
      </w:pPr>
    </w:p>
    <w:p w14:paraId="6970AA75" w14:textId="77777777" w:rsidR="001B5424" w:rsidRPr="002F0026" w:rsidRDefault="001B5424" w:rsidP="00D1298E">
      <w:pPr>
        <w:ind w:left="1080"/>
      </w:pPr>
    </w:p>
    <w:p w14:paraId="702AA6FB" w14:textId="77777777" w:rsidR="002F0026" w:rsidRPr="002F0026" w:rsidRDefault="002F0026" w:rsidP="002F0026">
      <w:r w:rsidRPr="002F0026">
        <w:t> </w:t>
      </w:r>
    </w:p>
    <w:p w14:paraId="4BD699A7" w14:textId="2F54D0DD" w:rsidR="00BC049F" w:rsidRPr="00173E82" w:rsidRDefault="00BC049F" w:rsidP="00173E82"/>
    <w:p w14:paraId="420A6DDE" w14:textId="00A4BDA1" w:rsidR="00173E82" w:rsidRPr="002E1FFD" w:rsidRDefault="00173E82" w:rsidP="002E1FFD"/>
    <w:p w14:paraId="75DC0035" w14:textId="77777777" w:rsidR="00F853F4" w:rsidRDefault="00F853F4"/>
    <w:sectPr w:rsidR="00F853F4">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BDC06" w14:textId="77777777" w:rsidR="00E95C12" w:rsidRDefault="00E95C12" w:rsidP="00F853F4">
      <w:pPr>
        <w:spacing w:after="0" w:line="240" w:lineRule="auto"/>
      </w:pPr>
      <w:r>
        <w:separator/>
      </w:r>
    </w:p>
  </w:endnote>
  <w:endnote w:type="continuationSeparator" w:id="0">
    <w:p w14:paraId="286733F1" w14:textId="77777777" w:rsidR="00E95C12" w:rsidRDefault="00E95C12" w:rsidP="00F85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5B0BA" w14:textId="3CD631BE" w:rsidR="00F853F4" w:rsidRDefault="00F853F4">
    <w:pPr>
      <w:pStyle w:val="Bunntekst"/>
    </w:pPr>
    <w:r>
      <w:rPr>
        <w:noProof/>
      </w:rPr>
      <mc:AlternateContent>
        <mc:Choice Requires="wps">
          <w:drawing>
            <wp:anchor distT="0" distB="0" distL="0" distR="0" simplePos="0" relativeHeight="251659264" behindDoc="0" locked="0" layoutInCell="1" allowOverlap="1" wp14:anchorId="003F2350" wp14:editId="7E52585D">
              <wp:simplePos x="635" y="635"/>
              <wp:positionH relativeFrom="page">
                <wp:align>left</wp:align>
              </wp:positionH>
              <wp:positionV relativeFrom="page">
                <wp:align>bottom</wp:align>
              </wp:positionV>
              <wp:extent cx="1455420" cy="381635"/>
              <wp:effectExtent l="0" t="0" r="11430" b="0"/>
              <wp:wrapNone/>
              <wp:docPr id="698787091" name="Tekstboks 2" descr="Følsomhet Intern (gu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55420" cy="381635"/>
                      </a:xfrm>
                      <a:prstGeom prst="rect">
                        <a:avLst/>
                      </a:prstGeom>
                      <a:noFill/>
                      <a:ln>
                        <a:noFill/>
                      </a:ln>
                    </wps:spPr>
                    <wps:txbx>
                      <w:txbxContent>
                        <w:p w14:paraId="5F2AFA9C" w14:textId="0EDD1F4D" w:rsidR="00F853F4" w:rsidRPr="00F853F4" w:rsidRDefault="00F853F4" w:rsidP="00F853F4">
                          <w:pPr>
                            <w:spacing w:after="0"/>
                            <w:rPr>
                              <w:rFonts w:ascii="Aptos" w:eastAsia="Aptos" w:hAnsi="Aptos" w:cs="Aptos"/>
                              <w:noProof/>
                              <w:color w:val="000000"/>
                              <w:sz w:val="20"/>
                              <w:szCs w:val="20"/>
                            </w:rPr>
                          </w:pPr>
                          <w:r w:rsidRPr="00F853F4">
                            <w:rPr>
                              <w:rFonts w:ascii="Aptos" w:eastAsia="Aptos" w:hAnsi="Aptos" w:cs="Aptos"/>
                              <w:noProof/>
                              <w:color w:val="000000"/>
                              <w:sz w:val="20"/>
                              <w:szCs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3F2350" id="_x0000_t202" coordsize="21600,21600" o:spt="202" path="m,l,21600r21600,l21600,xe">
              <v:stroke joinstyle="miter"/>
              <v:path gradientshapeok="t" o:connecttype="rect"/>
            </v:shapetype>
            <v:shape id="Tekstboks 2" o:spid="_x0000_s1026" type="#_x0000_t202" alt="Følsomhet Intern (gul)" style="position:absolute;margin-left:0;margin-top:0;width:114.6pt;height:30.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FWDwIAABsEAAAOAAAAZHJzL2Uyb0RvYy54bWysU8Fu2zAMvQ/YPwi6L3bSpOiMOEXWIsOA&#10;oC2QDj3LshQbkERBUmJnXz9KdpKt22nYRaZJ6pF8fFre91qRo3C+BVPS6SSnRBgOdWv2Jf3+uvl0&#10;R4kPzNRMgRElPQlP71cfPyw7W4gZNKBq4QiCGF90tqRNCLbIMs8boZmfgBUGgxKcZgF/3T6rHesQ&#10;Xatslue3WQeutg648B69j0OQrhK+lIKHZym9CESVFHsL6XTprOKZrZas2Dtmm5aPbbB/6EKz1mDR&#10;C9QjC4wcXPsHlG65Aw8yTDjoDKRsuUgz4DTT/N00u4ZZkWZBcry90OT/Hyx/Ou7siyOh/wI9LjAS&#10;0llfeHTGeXrpdPxipwTjSOHpQpvoA+Hx0nyxmM8wxDF2cze9vVlEmOx62zofvgrQJBoldbiWxBY7&#10;bn0YUs8psZiBTatUWo0yvzkQM3qya4vRCn3Vj31XUJ9wHAfDpr3lmxZrbpkPL8zharFNlGt4xkMq&#10;6EoKo0VJA+7H3/wxHxnHKCUdSqWkBrVMifpmcBOzxTzPo7TSHxrubFTJmH7OFzFuDvoBUIVTfBCW&#10;JzMmB3U2pQP9hmpex2oYYoZjzZJWZ/MhDMLF18DFep2SUEWWha3ZWR6hI1mRydf+jTk70h1wUU9w&#10;FhMr3rE+5Mab3q4PAblPK4nEDmyOfKMC01LH1xIl/ut/yrq+6dVPAAAA//8DAFBLAwQUAAYACAAA&#10;ACEAPwNGUdkAAAAEAQAADwAAAGRycy9kb3ducmV2LnhtbEyPwU7DMAyG70h7h8hIu7F0OVRQmk4T&#10;A7QrBQmOaeM11RqnNNlW3h7DBS6WrP/X58/lZvaDOOMU+0Aa1qsMBFIbbE+dhrfXp5tbEDEZsmYI&#10;hBq+MMKmWlyVprDhQi94rlMnGEKxMBpcSmMhZWwdehNXYUTi7BAmbxKvUyftZC4M94NUWZZLb3ri&#10;C86M+OCwPdYnryHfPW/d+J5/fB5U3McmHFMdHrVeXs/bexAJ5/RXhh99VoeKnZpwIhvFoIEfSb+T&#10;M6XuFIiGwdkaZFXK//LVNwAAAP//AwBQSwECLQAUAAYACAAAACEAtoM4kv4AAADhAQAAEwAAAAAA&#10;AAAAAAAAAAAAAAAAW0NvbnRlbnRfVHlwZXNdLnhtbFBLAQItABQABgAIAAAAIQA4/SH/1gAAAJQB&#10;AAALAAAAAAAAAAAAAAAAAC8BAABfcmVscy8ucmVsc1BLAQItABQABgAIAAAAIQCiCmFWDwIAABsE&#10;AAAOAAAAAAAAAAAAAAAAAC4CAABkcnMvZTJvRG9jLnhtbFBLAQItABQABgAIAAAAIQA/A0ZR2QAA&#10;AAQBAAAPAAAAAAAAAAAAAAAAAGkEAABkcnMvZG93bnJldi54bWxQSwUGAAAAAAQABADzAAAAbwUA&#10;AAAA&#10;" filled="f" stroked="f">
              <v:textbox style="mso-fit-shape-to-text:t" inset="20pt,0,0,15pt">
                <w:txbxContent>
                  <w:p w14:paraId="5F2AFA9C" w14:textId="0EDD1F4D" w:rsidR="00F853F4" w:rsidRPr="00F853F4" w:rsidRDefault="00F853F4" w:rsidP="00F853F4">
                    <w:pPr>
                      <w:spacing w:after="0"/>
                      <w:rPr>
                        <w:rFonts w:ascii="Aptos" w:eastAsia="Aptos" w:hAnsi="Aptos" w:cs="Aptos"/>
                        <w:noProof/>
                        <w:color w:val="000000"/>
                        <w:sz w:val="20"/>
                        <w:szCs w:val="20"/>
                      </w:rPr>
                    </w:pPr>
                    <w:r w:rsidRPr="00F853F4">
                      <w:rPr>
                        <w:rFonts w:ascii="Aptos" w:eastAsia="Aptos" w:hAnsi="Aptos" w:cs="Aptos"/>
                        <w:noProof/>
                        <w:color w:val="000000"/>
                        <w:sz w:val="20"/>
                        <w:szCs w:val="20"/>
                      </w:rPr>
                      <w:t>Følsomhet Intern (gul)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6F4E3" w14:textId="13377C21" w:rsidR="00F853F4" w:rsidRDefault="00F853F4">
    <w:pPr>
      <w:pStyle w:val="Bunntekst"/>
    </w:pPr>
    <w:r>
      <w:rPr>
        <w:noProof/>
      </w:rPr>
      <mc:AlternateContent>
        <mc:Choice Requires="wps">
          <w:drawing>
            <wp:anchor distT="0" distB="0" distL="0" distR="0" simplePos="0" relativeHeight="251660288" behindDoc="0" locked="0" layoutInCell="1" allowOverlap="1" wp14:anchorId="52A1B18A" wp14:editId="534462A7">
              <wp:simplePos x="635" y="635"/>
              <wp:positionH relativeFrom="page">
                <wp:align>left</wp:align>
              </wp:positionH>
              <wp:positionV relativeFrom="page">
                <wp:align>bottom</wp:align>
              </wp:positionV>
              <wp:extent cx="1455420" cy="381635"/>
              <wp:effectExtent l="0" t="0" r="11430" b="0"/>
              <wp:wrapNone/>
              <wp:docPr id="1964938124" name="Tekstboks 3" descr="Følsomhet Intern (gu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55420" cy="381635"/>
                      </a:xfrm>
                      <a:prstGeom prst="rect">
                        <a:avLst/>
                      </a:prstGeom>
                      <a:noFill/>
                      <a:ln>
                        <a:noFill/>
                      </a:ln>
                    </wps:spPr>
                    <wps:txbx>
                      <w:txbxContent>
                        <w:p w14:paraId="225BFB21" w14:textId="3DBDE938" w:rsidR="00F853F4" w:rsidRPr="00F853F4" w:rsidRDefault="00F853F4" w:rsidP="00F853F4">
                          <w:pPr>
                            <w:spacing w:after="0"/>
                            <w:rPr>
                              <w:rFonts w:ascii="Aptos" w:eastAsia="Aptos" w:hAnsi="Aptos" w:cs="Aptos"/>
                              <w:noProof/>
                              <w:color w:val="000000"/>
                              <w:sz w:val="20"/>
                              <w:szCs w:val="20"/>
                            </w:rPr>
                          </w:pPr>
                          <w:r w:rsidRPr="00F853F4">
                            <w:rPr>
                              <w:rFonts w:ascii="Aptos" w:eastAsia="Aptos" w:hAnsi="Aptos" w:cs="Aptos"/>
                              <w:noProof/>
                              <w:color w:val="000000"/>
                              <w:sz w:val="20"/>
                              <w:szCs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2A1B18A" id="_x0000_t202" coordsize="21600,21600" o:spt="202" path="m,l,21600r21600,l21600,xe">
              <v:stroke joinstyle="miter"/>
              <v:path gradientshapeok="t" o:connecttype="rect"/>
            </v:shapetype>
            <v:shape id="Tekstboks 3" o:spid="_x0000_s1027" type="#_x0000_t202" alt="Følsomhet Intern (gul)" style="position:absolute;margin-left:0;margin-top:0;width:114.6pt;height:30.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EmEQIAACIEAAAOAAAAZHJzL2Uyb0RvYy54bWysU99v2jAQfp+0/8Hy+0igULURoWKtmCah&#10;thKd+mwcm0SyfZZtSNhfv7MToGv7NO3Fudyd78f3fZ7fdVqRg3C+AVPS8SinRBgOVWN2Jf31svp2&#10;Q4kPzFRMgRElPQpP7xZfv8xbW4gJ1KAq4QgWMb5obUnrEGyRZZ7XQjM/AisMBiU4zQL+ul1WOdZi&#10;da2ySZ5fZy24yjrgwnv0PvRBukj1pRQ8PEnpRSCqpDhbSKdL5zae2WLOip1jtm74MAb7hyk0aww2&#10;PZd6YIGRvWs+lNINd+BBhhEHnYGUDRdpB9xmnL/bZlMzK9IuCI63Z5j8/yvLHw8b++xI6L5DhwRG&#10;QFrrC4/OuE8nnY5fnJRgHCE8nmETXSA8XprOZtMJhjjGrm7G11ezWCa73LbOhx8CNIlGSR3SktBi&#10;h7UPfeopJTYzsGqUStQo85cDa0ZPdhkxWqHbdqSp3oy/heqIWznoCfeWrxpsvWY+PDOHDOO0qNrw&#10;hIdU0JYUBouSGtzvz/wxH4HHKCUtKqakBiVNifppkJDJbJrnUWHpDw13MrbJGN/msxg3e30PKMYx&#10;vgvLkxmTgzqZ0oF+RVEvYzcMMcOxZ0m3J/M+9PrFR8HFcpmSUEyWhbXZWB5LR8wioC/dK3N2QD0g&#10;X49w0hQr3oHf58ab3i73ASlIzER8ezQH2FGIidvh0USlv/1PWZenvfgDAAD//wMAUEsDBBQABgAI&#10;AAAAIQA/A0ZR2QAAAAQBAAAPAAAAZHJzL2Rvd25yZXYueG1sTI/BTsMwDIbvSHuHyEi7sXQ5VFCa&#10;ThMDtCsFCY5p4zXVGqc02VbeHsMFLpas/9fnz+Vm9oM44xT7QBrWqwwEUhtsT52Gt9enm1sQMRmy&#10;ZgiEGr4wwqZaXJWmsOFCL3iuUycYQrEwGlxKYyFlbB16E1dhROLsECZvEq9TJ+1kLgz3g1RZlktv&#10;euILzoz44LA91ievId89b934nn98HlTcxyYcUx0etV5ez9t7EAnn9FeGH31Wh4qdmnAiG8WggR9J&#10;v5Mzpe4UiIbB2RpkVcr/8tU3AAAA//8DAFBLAQItABQABgAIAAAAIQC2gziS/gAAAOEBAAATAAAA&#10;AAAAAAAAAAAAAAAAAABbQ29udGVudF9UeXBlc10ueG1sUEsBAi0AFAAGAAgAAAAhADj9If/WAAAA&#10;lAEAAAsAAAAAAAAAAAAAAAAALwEAAF9yZWxzLy5yZWxzUEsBAi0AFAAGAAgAAAAhABQOcSYRAgAA&#10;IgQAAA4AAAAAAAAAAAAAAAAALgIAAGRycy9lMm9Eb2MueG1sUEsBAi0AFAAGAAgAAAAhAD8DRlHZ&#10;AAAABAEAAA8AAAAAAAAAAAAAAAAAawQAAGRycy9kb3ducmV2LnhtbFBLBQYAAAAABAAEAPMAAABx&#10;BQAAAAA=&#10;" filled="f" stroked="f">
              <v:textbox style="mso-fit-shape-to-text:t" inset="20pt,0,0,15pt">
                <w:txbxContent>
                  <w:p w14:paraId="225BFB21" w14:textId="3DBDE938" w:rsidR="00F853F4" w:rsidRPr="00F853F4" w:rsidRDefault="00F853F4" w:rsidP="00F853F4">
                    <w:pPr>
                      <w:spacing w:after="0"/>
                      <w:rPr>
                        <w:rFonts w:ascii="Aptos" w:eastAsia="Aptos" w:hAnsi="Aptos" w:cs="Aptos"/>
                        <w:noProof/>
                        <w:color w:val="000000"/>
                        <w:sz w:val="20"/>
                        <w:szCs w:val="20"/>
                      </w:rPr>
                    </w:pPr>
                    <w:r w:rsidRPr="00F853F4">
                      <w:rPr>
                        <w:rFonts w:ascii="Aptos" w:eastAsia="Aptos" w:hAnsi="Aptos" w:cs="Aptos"/>
                        <w:noProof/>
                        <w:color w:val="000000"/>
                        <w:sz w:val="20"/>
                        <w:szCs w:val="20"/>
                      </w:rPr>
                      <w:t>Følsomhet Intern (gul)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9E51" w14:textId="79E36683" w:rsidR="00F853F4" w:rsidRDefault="00F853F4">
    <w:pPr>
      <w:pStyle w:val="Bunntekst"/>
    </w:pPr>
    <w:r>
      <w:rPr>
        <w:noProof/>
      </w:rPr>
      <mc:AlternateContent>
        <mc:Choice Requires="wps">
          <w:drawing>
            <wp:anchor distT="0" distB="0" distL="0" distR="0" simplePos="0" relativeHeight="251658240" behindDoc="0" locked="0" layoutInCell="1" allowOverlap="1" wp14:anchorId="23E0B8B6" wp14:editId="6EEC285D">
              <wp:simplePos x="635" y="635"/>
              <wp:positionH relativeFrom="page">
                <wp:align>left</wp:align>
              </wp:positionH>
              <wp:positionV relativeFrom="page">
                <wp:align>bottom</wp:align>
              </wp:positionV>
              <wp:extent cx="1455420" cy="381635"/>
              <wp:effectExtent l="0" t="0" r="11430" b="0"/>
              <wp:wrapNone/>
              <wp:docPr id="725097728" name="Tekstboks 1" descr="Følsomhet Intern (gu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55420" cy="381635"/>
                      </a:xfrm>
                      <a:prstGeom prst="rect">
                        <a:avLst/>
                      </a:prstGeom>
                      <a:noFill/>
                      <a:ln>
                        <a:noFill/>
                      </a:ln>
                    </wps:spPr>
                    <wps:txbx>
                      <w:txbxContent>
                        <w:p w14:paraId="603E5EA0" w14:textId="53C0FD7C" w:rsidR="00F853F4" w:rsidRPr="00F853F4" w:rsidRDefault="00F853F4" w:rsidP="00F853F4">
                          <w:pPr>
                            <w:spacing w:after="0"/>
                            <w:rPr>
                              <w:rFonts w:ascii="Aptos" w:eastAsia="Aptos" w:hAnsi="Aptos" w:cs="Aptos"/>
                              <w:noProof/>
                              <w:color w:val="000000"/>
                              <w:sz w:val="20"/>
                              <w:szCs w:val="20"/>
                            </w:rPr>
                          </w:pPr>
                          <w:r w:rsidRPr="00F853F4">
                            <w:rPr>
                              <w:rFonts w:ascii="Aptos" w:eastAsia="Aptos" w:hAnsi="Aptos" w:cs="Aptos"/>
                              <w:noProof/>
                              <w:color w:val="000000"/>
                              <w:sz w:val="20"/>
                              <w:szCs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E0B8B6" id="_x0000_t202" coordsize="21600,21600" o:spt="202" path="m,l,21600r21600,l21600,xe">
              <v:stroke joinstyle="miter"/>
              <v:path gradientshapeok="t" o:connecttype="rect"/>
            </v:shapetype>
            <v:shape id="Tekstboks 1" o:spid="_x0000_s1028" type="#_x0000_t202" alt="Følsomhet Intern (gul)" style="position:absolute;margin-left:0;margin-top:0;width:114.6pt;height:30.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IJkEwIAACIEAAAOAAAAZHJzL2Uyb0RvYy54bWysU01v2zAMvQ/YfxB0X+ykSdEZcYqsRYYB&#10;QVsgHXpWZCk2IImCpMTOfv0o2U62bqdhF5kmKX6897S877QiJ+F8A6ak00lOiTAcqsYcSvr9dfPp&#10;jhIfmKmYAiNKehae3q8+fli2thAzqEFVwhEsYnzR2pLWIdgiyzyvhWZ+AlYYDEpwmgX8dYescqzF&#10;6lplszy/zVpwlXXAhffofeyDdJXqSyl4eJbSi0BUSXG2kE6Xzn08s9WSFQfHbN3wYQz2D1No1hhs&#10;ein1yAIjR9f8UUo33IEHGSYcdAZSNlykHXCbaf5um13NrEi7IDjeXmDy/68sfzrt7IsjofsCHRIY&#10;AWmtLzw64z6ddDp+cVKCcYTwfIFNdIHweGm+WMxnGOIYu7mb3t4sYpnsets6H74K0CQaJXVIS0KL&#10;nbY+9KljSmxmYNMolahR5jcH1oye7DpitEK370hTlXQ2jr+H6oxbOegJ95ZvGmy9ZT68MIcM47So&#10;2vCMh1TQlhQGi5Ia3I+/+WM+Ao9RSlpUTEkNSpoS9c0gIbPFPM+jwtIfGm409smYfs4XMW6O+gFQ&#10;jFN8F5YnMyYHNZrSgX5DUa9jNwwxw7FnSfej+RB6/eKj4GK9TkkoJsvC1uwsj6UjZhHQ1+6NOTug&#10;HpCvJxg1xYp34Pe58aa362NAChIzEd8ezQF2FGLidng0Uem//qes69Ne/QQAAP//AwBQSwMEFAAG&#10;AAgAAAAhAD8DRlHZAAAABAEAAA8AAABkcnMvZG93bnJldi54bWxMj8FOwzAMhu9Ie4fISLuxdDlU&#10;UJpOEwO0KwUJjmnjNdUapzTZVt4ewwUulqz/1+fP5Wb2gzjjFPtAGtarDARSG2xPnYa316ebWxAx&#10;GbJmCIQavjDCplpclaaw4UIveK5TJxhCsTAaXEpjIWVsHXoTV2FE4uwQJm8Sr1Mn7WQuDPeDVFmW&#10;S2964gvOjPjgsD3WJ68h3z1v3fief3weVNzHJhxTHR61Xl7P23sQCef0V4YffVaHip2acCIbxaCB&#10;H0m/kzOl7hSIhsHZGmRVyv/y1TcAAAD//wMAUEsBAi0AFAAGAAgAAAAhALaDOJL+AAAA4QEAABMA&#10;AAAAAAAAAAAAAAAAAAAAAFtDb250ZW50X1R5cGVzXS54bWxQSwECLQAUAAYACAAAACEAOP0h/9YA&#10;AACUAQAACwAAAAAAAAAAAAAAAAAvAQAAX3JlbHMvLnJlbHNQSwECLQAUAAYACAAAACEARZiCZBMC&#10;AAAiBAAADgAAAAAAAAAAAAAAAAAuAgAAZHJzL2Uyb0RvYy54bWxQSwECLQAUAAYACAAAACEAPwNG&#10;UdkAAAAEAQAADwAAAAAAAAAAAAAAAABtBAAAZHJzL2Rvd25yZXYueG1sUEsFBgAAAAAEAAQA8wAA&#10;AHMFAAAAAA==&#10;" filled="f" stroked="f">
              <v:textbox style="mso-fit-shape-to-text:t" inset="20pt,0,0,15pt">
                <w:txbxContent>
                  <w:p w14:paraId="603E5EA0" w14:textId="53C0FD7C" w:rsidR="00F853F4" w:rsidRPr="00F853F4" w:rsidRDefault="00F853F4" w:rsidP="00F853F4">
                    <w:pPr>
                      <w:spacing w:after="0"/>
                      <w:rPr>
                        <w:rFonts w:ascii="Aptos" w:eastAsia="Aptos" w:hAnsi="Aptos" w:cs="Aptos"/>
                        <w:noProof/>
                        <w:color w:val="000000"/>
                        <w:sz w:val="20"/>
                        <w:szCs w:val="20"/>
                      </w:rPr>
                    </w:pPr>
                    <w:r w:rsidRPr="00F853F4">
                      <w:rPr>
                        <w:rFonts w:ascii="Aptos" w:eastAsia="Aptos" w:hAnsi="Aptos" w:cs="Aptos"/>
                        <w:noProof/>
                        <w:color w:val="000000"/>
                        <w:sz w:val="20"/>
                        <w:szCs w:val="20"/>
                      </w:rPr>
                      <w:t>Følsomhet Intern (gul)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164CA" w14:textId="77777777" w:rsidR="00E95C12" w:rsidRDefault="00E95C12" w:rsidP="00F853F4">
      <w:pPr>
        <w:spacing w:after="0" w:line="240" w:lineRule="auto"/>
      </w:pPr>
      <w:r>
        <w:separator/>
      </w:r>
    </w:p>
  </w:footnote>
  <w:footnote w:type="continuationSeparator" w:id="0">
    <w:p w14:paraId="1F6AFE14" w14:textId="77777777" w:rsidR="00E95C12" w:rsidRDefault="00E95C12" w:rsidP="00F85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E31C6"/>
    <w:multiLevelType w:val="hybridMultilevel"/>
    <w:tmpl w:val="F36AD95E"/>
    <w:lvl w:ilvl="0" w:tplc="B996527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5775602E"/>
    <w:multiLevelType w:val="hybridMultilevel"/>
    <w:tmpl w:val="DB96BD00"/>
    <w:lvl w:ilvl="0" w:tplc="45DC5BC4">
      <w:start w:val="1"/>
      <w:numFmt w:val="decimal"/>
      <w:lvlText w:val="%1."/>
      <w:lvlJc w:val="left"/>
      <w:pPr>
        <w:ind w:left="1080" w:hanging="360"/>
      </w:pPr>
      <w:rPr>
        <w:rFonts w:hint="default"/>
        <w:b/>
        <w:bCs/>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618873CA"/>
    <w:multiLevelType w:val="multilevel"/>
    <w:tmpl w:val="D250E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6464003">
    <w:abstractNumId w:val="2"/>
  </w:num>
  <w:num w:numId="2" w16cid:durableId="1458909876">
    <w:abstractNumId w:val="0"/>
  </w:num>
  <w:num w:numId="3" w16cid:durableId="935869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3F4"/>
    <w:rsid w:val="000116FA"/>
    <w:rsid w:val="00056AF0"/>
    <w:rsid w:val="00095063"/>
    <w:rsid w:val="000A3B82"/>
    <w:rsid w:val="00144F3D"/>
    <w:rsid w:val="00145063"/>
    <w:rsid w:val="00173E82"/>
    <w:rsid w:val="001B4A95"/>
    <w:rsid w:val="001B5424"/>
    <w:rsid w:val="001C09DB"/>
    <w:rsid w:val="001C2C66"/>
    <w:rsid w:val="002702D5"/>
    <w:rsid w:val="002E1FFD"/>
    <w:rsid w:val="002F0026"/>
    <w:rsid w:val="002F586A"/>
    <w:rsid w:val="00367083"/>
    <w:rsid w:val="003870E0"/>
    <w:rsid w:val="003A24CF"/>
    <w:rsid w:val="00406AE5"/>
    <w:rsid w:val="00514DD7"/>
    <w:rsid w:val="00550FB4"/>
    <w:rsid w:val="00574777"/>
    <w:rsid w:val="006052E1"/>
    <w:rsid w:val="00630773"/>
    <w:rsid w:val="0069442C"/>
    <w:rsid w:val="006B108A"/>
    <w:rsid w:val="006B3301"/>
    <w:rsid w:val="006E3234"/>
    <w:rsid w:val="00774F8A"/>
    <w:rsid w:val="007A2F0E"/>
    <w:rsid w:val="007A4BE7"/>
    <w:rsid w:val="007F75F7"/>
    <w:rsid w:val="008215BE"/>
    <w:rsid w:val="008738BF"/>
    <w:rsid w:val="008A1959"/>
    <w:rsid w:val="008B0B65"/>
    <w:rsid w:val="008C253D"/>
    <w:rsid w:val="008F5862"/>
    <w:rsid w:val="00926397"/>
    <w:rsid w:val="00952331"/>
    <w:rsid w:val="00972F2B"/>
    <w:rsid w:val="00991B32"/>
    <w:rsid w:val="00A13795"/>
    <w:rsid w:val="00A36E71"/>
    <w:rsid w:val="00AA74CC"/>
    <w:rsid w:val="00AE3485"/>
    <w:rsid w:val="00B5575F"/>
    <w:rsid w:val="00BA47DC"/>
    <w:rsid w:val="00BC049F"/>
    <w:rsid w:val="00C62A4A"/>
    <w:rsid w:val="00C86E5E"/>
    <w:rsid w:val="00C9129A"/>
    <w:rsid w:val="00C967C2"/>
    <w:rsid w:val="00CE1F3B"/>
    <w:rsid w:val="00D01513"/>
    <w:rsid w:val="00D1298E"/>
    <w:rsid w:val="00D17782"/>
    <w:rsid w:val="00D36AB3"/>
    <w:rsid w:val="00D7572B"/>
    <w:rsid w:val="00D935D3"/>
    <w:rsid w:val="00DE04BD"/>
    <w:rsid w:val="00E23FC8"/>
    <w:rsid w:val="00E95C12"/>
    <w:rsid w:val="00F1599E"/>
    <w:rsid w:val="00F853F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7C4DA"/>
  <w15:chartTrackingRefBased/>
  <w15:docId w15:val="{1620D785-369F-473C-8283-DC30F95F8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85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85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853F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853F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853F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853F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853F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853F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853F4"/>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853F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853F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853F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853F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853F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853F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853F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853F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853F4"/>
    <w:rPr>
      <w:rFonts w:eastAsiaTheme="majorEastAsia" w:cstheme="majorBidi"/>
      <w:color w:val="272727" w:themeColor="text1" w:themeTint="D8"/>
    </w:rPr>
  </w:style>
  <w:style w:type="paragraph" w:styleId="Tittel">
    <w:name w:val="Title"/>
    <w:basedOn w:val="Normal"/>
    <w:next w:val="Normal"/>
    <w:link w:val="TittelTegn"/>
    <w:uiPriority w:val="10"/>
    <w:qFormat/>
    <w:rsid w:val="00F85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853F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853F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853F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853F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853F4"/>
    <w:rPr>
      <w:i/>
      <w:iCs/>
      <w:color w:val="404040" w:themeColor="text1" w:themeTint="BF"/>
    </w:rPr>
  </w:style>
  <w:style w:type="paragraph" w:styleId="Listeavsnitt">
    <w:name w:val="List Paragraph"/>
    <w:basedOn w:val="Normal"/>
    <w:uiPriority w:val="34"/>
    <w:qFormat/>
    <w:rsid w:val="00F853F4"/>
    <w:pPr>
      <w:ind w:left="720"/>
      <w:contextualSpacing/>
    </w:pPr>
  </w:style>
  <w:style w:type="character" w:styleId="Sterkutheving">
    <w:name w:val="Intense Emphasis"/>
    <w:basedOn w:val="Standardskriftforavsnitt"/>
    <w:uiPriority w:val="21"/>
    <w:qFormat/>
    <w:rsid w:val="00F853F4"/>
    <w:rPr>
      <w:i/>
      <w:iCs/>
      <w:color w:val="0F4761" w:themeColor="accent1" w:themeShade="BF"/>
    </w:rPr>
  </w:style>
  <w:style w:type="paragraph" w:styleId="Sterktsitat">
    <w:name w:val="Intense Quote"/>
    <w:basedOn w:val="Normal"/>
    <w:next w:val="Normal"/>
    <w:link w:val="SterktsitatTegn"/>
    <w:uiPriority w:val="30"/>
    <w:qFormat/>
    <w:rsid w:val="00F85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853F4"/>
    <w:rPr>
      <w:i/>
      <w:iCs/>
      <w:color w:val="0F4761" w:themeColor="accent1" w:themeShade="BF"/>
    </w:rPr>
  </w:style>
  <w:style w:type="character" w:styleId="Sterkreferanse">
    <w:name w:val="Intense Reference"/>
    <w:basedOn w:val="Standardskriftforavsnitt"/>
    <w:uiPriority w:val="32"/>
    <w:qFormat/>
    <w:rsid w:val="00F853F4"/>
    <w:rPr>
      <w:b/>
      <w:bCs/>
      <w:smallCaps/>
      <w:color w:val="0F4761" w:themeColor="accent1" w:themeShade="BF"/>
      <w:spacing w:val="5"/>
    </w:rPr>
  </w:style>
  <w:style w:type="paragraph" w:styleId="Bunntekst">
    <w:name w:val="footer"/>
    <w:basedOn w:val="Normal"/>
    <w:link w:val="BunntekstTegn"/>
    <w:uiPriority w:val="99"/>
    <w:unhideWhenUsed/>
    <w:rsid w:val="00F853F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853F4"/>
  </w:style>
  <w:style w:type="paragraph" w:styleId="NormalWeb">
    <w:name w:val="Normal (Web)"/>
    <w:basedOn w:val="Normal"/>
    <w:uiPriority w:val="99"/>
    <w:semiHidden/>
    <w:unhideWhenUsed/>
    <w:rsid w:val="00173E8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c3ffc1c-ef00-4620-9c2f-7d9c1597774b}" enabled="1" method="Standard" siteId="{bdcbe535-f3cf-49f5-8a6a-fb6d98dc7837}"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1175</Words>
  <Characters>6228</Characters>
  <Application>Microsoft Office Word</Application>
  <DocSecurity>0</DocSecurity>
  <Lines>51</Lines>
  <Paragraphs>14</Paragraphs>
  <ScaleCrop>false</ScaleCrop>
  <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Sundic, Tatjana</dc:creator>
  <cp:keywords/>
  <dc:description/>
  <cp:lastModifiedBy>Elisabeth Selvaag</cp:lastModifiedBy>
  <cp:revision>2</cp:revision>
  <dcterms:created xsi:type="dcterms:W3CDTF">2026-09-01T07:51:00Z</dcterms:created>
  <dcterms:modified xsi:type="dcterms:W3CDTF">2026-09-01T07:51:00Z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2b381d00,29a6a513,751e938c</vt:lpwstr>
  </property>
  <property fmtid="{D5CDD505-2E9C-101B-9397-08002B2CF9AE}" pid="3" name="ClassificationContentMarkingFooterFontProps">
    <vt:lpwstr>#000000,10,Aptos</vt:lpwstr>
  </property>
  <property fmtid="{D5CDD505-2E9C-101B-9397-08002B2CF9AE}" pid="4" name="ClassificationContentMarkingFooterText">
    <vt:lpwstr>Følsomhet Intern (gul)</vt:lpwstr>
  </property>
</Properties>
</file>