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5F08" w14:textId="77777777" w:rsidR="006F15EF" w:rsidRPr="006F15EF" w:rsidRDefault="006F15EF" w:rsidP="006F15EF">
      <w:pPr>
        <w:pageBreakBefore/>
        <w:widowControl w:val="0"/>
        <w:numPr>
          <w:ilvl w:val="0"/>
          <w:numId w:val="1"/>
        </w:numPr>
        <w:tabs>
          <w:tab w:val="num" w:pos="-1410"/>
        </w:tabs>
        <w:spacing w:after="1400" w:line="240" w:lineRule="auto"/>
        <w:ind w:left="567"/>
        <w:outlineLvl w:val="0"/>
        <w:rPr>
          <w:rFonts w:ascii="Arial" w:eastAsia="Times New Roman" w:hAnsi="Arial" w:cs="Arial"/>
          <w:color w:val="000000"/>
          <w:spacing w:val="40"/>
          <w:sz w:val="32"/>
          <w:szCs w:val="32"/>
        </w:rPr>
      </w:pPr>
      <w:bookmarkStart w:id="0" w:name="_Toc438470521"/>
      <w:r w:rsidRPr="006F15EF">
        <w:rPr>
          <w:rFonts w:ascii="Arial" w:eastAsia="Times New Roman" w:hAnsi="Arial" w:cs="Arial"/>
          <w:color w:val="000000"/>
          <w:spacing w:val="40"/>
          <w:sz w:val="32"/>
          <w:szCs w:val="32"/>
        </w:rPr>
        <w:t>Kronisk myelogen leukemi (KML)</w:t>
      </w:r>
      <w:bookmarkEnd w:id="0"/>
    </w:p>
    <w:p w14:paraId="42829C69" w14:textId="77777777" w:rsidR="006F15EF" w:rsidRPr="006F15EF" w:rsidRDefault="006F15EF" w:rsidP="006F15EF">
      <w:pPr>
        <w:widowControl w:val="0"/>
        <w:spacing w:after="0" w:line="240" w:lineRule="auto"/>
        <w:rPr>
          <w:rFonts w:ascii="Arial" w:eastAsia="Times New Roman" w:hAnsi="Arial" w:cs="Arial"/>
          <w:b/>
          <w:bCs/>
          <w:sz w:val="24"/>
          <w:szCs w:val="24"/>
        </w:rPr>
      </w:pPr>
      <w:r w:rsidRPr="006F15EF">
        <w:rPr>
          <w:rFonts w:ascii="Arial" w:eastAsia="Times New Roman" w:hAnsi="Arial" w:cs="Arial"/>
          <w:b/>
          <w:bCs/>
          <w:sz w:val="24"/>
          <w:szCs w:val="24"/>
        </w:rPr>
        <w:t>Anbefalinger</w:t>
      </w:r>
    </w:p>
    <w:p w14:paraId="27B72E34" w14:textId="77777777" w:rsidR="006F15EF" w:rsidRPr="006F15EF" w:rsidRDefault="006F15EF" w:rsidP="006F15EF">
      <w:pPr>
        <w:widowControl w:val="0"/>
        <w:spacing w:after="0" w:line="240" w:lineRule="auto"/>
        <w:rPr>
          <w:rFonts w:ascii="Arial" w:eastAsia="Times New Roman" w:hAnsi="Arial" w:cs="Arial"/>
          <w:b/>
          <w:bCs/>
          <w:sz w:val="24"/>
          <w:szCs w:val="24"/>
        </w:rPr>
      </w:pPr>
    </w:p>
    <w:p w14:paraId="3ED53499" w14:textId="59BAB4CC" w:rsidR="006F15EF" w:rsidRPr="006F15EF" w:rsidRDefault="006F15EF" w:rsidP="006F15EF">
      <w:pPr>
        <w:numPr>
          <w:ilvl w:val="0"/>
          <w:numId w:val="2"/>
        </w:numPr>
        <w:spacing w:after="0" w:line="240" w:lineRule="auto"/>
        <w:rPr>
          <w:rFonts w:ascii="Arial" w:eastAsia="Times New Roman" w:hAnsi="Arial" w:cs="Arial"/>
          <w:b/>
          <w:bCs/>
          <w:sz w:val="24"/>
          <w:szCs w:val="24"/>
        </w:rPr>
      </w:pPr>
      <w:r>
        <w:rPr>
          <w:rFonts w:ascii="Arial" w:eastAsia="Times New Roman" w:hAnsi="Arial" w:cs="Arial"/>
          <w:b/>
          <w:bCs/>
          <w:sz w:val="24"/>
          <w:szCs w:val="24"/>
        </w:rPr>
        <w:t>Ved behandlingsoppstart er det viktig å bestemme et mål for behandlingen</w:t>
      </w:r>
      <w:r w:rsidR="001A24B8">
        <w:rPr>
          <w:rFonts w:ascii="Arial" w:eastAsia="Times New Roman" w:hAnsi="Arial" w:cs="Arial"/>
          <w:b/>
          <w:bCs/>
          <w:sz w:val="24"/>
          <w:szCs w:val="24"/>
        </w:rPr>
        <w:t>, blant annet</w:t>
      </w:r>
      <w:r>
        <w:rPr>
          <w:rFonts w:ascii="Arial" w:eastAsia="Times New Roman" w:hAnsi="Arial" w:cs="Arial"/>
          <w:b/>
          <w:bCs/>
          <w:sz w:val="24"/>
          <w:szCs w:val="24"/>
        </w:rPr>
        <w:t xml:space="preserve"> basert på pasientens alder, komorbiditet og </w:t>
      </w:r>
      <w:r w:rsidR="00C126FE">
        <w:rPr>
          <w:rFonts w:ascii="Arial" w:eastAsia="Times New Roman" w:hAnsi="Arial" w:cs="Arial"/>
          <w:b/>
          <w:bCs/>
          <w:sz w:val="24"/>
          <w:szCs w:val="24"/>
        </w:rPr>
        <w:t xml:space="preserve">evt </w:t>
      </w:r>
      <w:r>
        <w:rPr>
          <w:rFonts w:ascii="Arial" w:eastAsia="Times New Roman" w:hAnsi="Arial" w:cs="Arial"/>
          <w:b/>
          <w:bCs/>
          <w:sz w:val="24"/>
          <w:szCs w:val="24"/>
        </w:rPr>
        <w:t xml:space="preserve">fertilitetsønske. </w:t>
      </w:r>
      <w:r w:rsidRPr="006F15EF">
        <w:rPr>
          <w:rFonts w:ascii="Arial" w:eastAsia="Times New Roman" w:hAnsi="Arial" w:cs="Arial"/>
          <w:b/>
          <w:bCs/>
          <w:sz w:val="24"/>
          <w:szCs w:val="24"/>
        </w:rPr>
        <w:t>TKIene imatinib, nilotinib</w:t>
      </w:r>
      <w:r w:rsidR="00A1096C">
        <w:rPr>
          <w:rFonts w:ascii="Arial" w:eastAsia="Times New Roman" w:hAnsi="Arial" w:cs="Arial"/>
          <w:b/>
          <w:bCs/>
          <w:sz w:val="24"/>
          <w:szCs w:val="24"/>
        </w:rPr>
        <w:t>, dasatinib og bosutinib</w:t>
      </w:r>
      <w:r w:rsidR="00F9310E">
        <w:rPr>
          <w:rFonts w:ascii="Arial" w:eastAsia="Times New Roman" w:hAnsi="Arial" w:cs="Arial"/>
          <w:b/>
          <w:bCs/>
          <w:sz w:val="24"/>
          <w:szCs w:val="24"/>
        </w:rPr>
        <w:t xml:space="preserve"> </w:t>
      </w:r>
      <w:r w:rsidRPr="006F15EF">
        <w:rPr>
          <w:rFonts w:ascii="Arial" w:eastAsia="Times New Roman" w:hAnsi="Arial" w:cs="Arial"/>
          <w:b/>
          <w:bCs/>
          <w:sz w:val="24"/>
          <w:szCs w:val="24"/>
        </w:rPr>
        <w:t xml:space="preserve">er førstevalgsbehandling for pasienter med KML (evidensgrad A). </w:t>
      </w:r>
      <w:r w:rsidR="00F31BB1">
        <w:rPr>
          <w:rFonts w:ascii="Arial" w:eastAsia="Times New Roman" w:hAnsi="Arial" w:cs="Arial"/>
          <w:b/>
          <w:bCs/>
          <w:sz w:val="24"/>
          <w:szCs w:val="24"/>
        </w:rPr>
        <w:t xml:space="preserve"> </w:t>
      </w:r>
    </w:p>
    <w:p w14:paraId="144FAFFF" w14:textId="41E15A01" w:rsidR="006F15EF" w:rsidRPr="006F15EF" w:rsidRDefault="006F15EF" w:rsidP="006F15EF">
      <w:pPr>
        <w:numPr>
          <w:ilvl w:val="0"/>
          <w:numId w:val="2"/>
        </w:numPr>
        <w:spacing w:after="0" w:line="240" w:lineRule="auto"/>
        <w:rPr>
          <w:rFonts w:ascii="Arial" w:eastAsia="Times New Roman" w:hAnsi="Arial" w:cs="Arial"/>
          <w:b/>
          <w:bCs/>
          <w:sz w:val="24"/>
          <w:szCs w:val="24"/>
        </w:rPr>
      </w:pPr>
      <w:r w:rsidRPr="006F15EF">
        <w:rPr>
          <w:rFonts w:ascii="Arial" w:eastAsia="Times New Roman" w:hAnsi="Arial" w:cs="Arial"/>
          <w:b/>
          <w:bCs/>
          <w:sz w:val="24"/>
          <w:szCs w:val="24"/>
        </w:rPr>
        <w:t>2TKIene dasatinib</w:t>
      </w:r>
      <w:r>
        <w:rPr>
          <w:rFonts w:ascii="Arial" w:eastAsia="Times New Roman" w:hAnsi="Arial" w:cs="Arial"/>
          <w:b/>
          <w:bCs/>
          <w:sz w:val="24"/>
          <w:szCs w:val="24"/>
        </w:rPr>
        <w:t>,</w:t>
      </w:r>
      <w:r w:rsidRPr="006F15EF">
        <w:rPr>
          <w:rFonts w:ascii="Arial" w:eastAsia="Times New Roman" w:hAnsi="Arial" w:cs="Arial"/>
          <w:b/>
          <w:bCs/>
          <w:sz w:val="24"/>
          <w:szCs w:val="24"/>
        </w:rPr>
        <w:t xml:space="preserve"> nilotinib</w:t>
      </w:r>
      <w:r>
        <w:rPr>
          <w:rFonts w:ascii="Arial" w:eastAsia="Times New Roman" w:hAnsi="Arial" w:cs="Arial"/>
          <w:b/>
          <w:bCs/>
          <w:sz w:val="24"/>
          <w:szCs w:val="24"/>
        </w:rPr>
        <w:t xml:space="preserve"> og bosutinib</w:t>
      </w:r>
      <w:r w:rsidRPr="006F15EF">
        <w:rPr>
          <w:rFonts w:ascii="Arial" w:eastAsia="Times New Roman" w:hAnsi="Arial" w:cs="Arial"/>
          <w:b/>
          <w:bCs/>
          <w:sz w:val="24"/>
          <w:szCs w:val="24"/>
        </w:rPr>
        <w:t xml:space="preserve"> er førstevalg ved imatinib-resistens eller –intoleranse (evidensgrad B). 2TKI induserer varige responser hos noe mindre enn halvparten av pasienter</w:t>
      </w:r>
      <w:r>
        <w:rPr>
          <w:rFonts w:ascii="Arial" w:eastAsia="Times New Roman" w:hAnsi="Arial" w:cs="Arial"/>
          <w:b/>
          <w:bCs/>
          <w:sz w:val="24"/>
          <w:szCs w:val="24"/>
        </w:rPr>
        <w:t xml:space="preserve"> med resistens</w:t>
      </w:r>
      <w:r w:rsidR="00844097">
        <w:rPr>
          <w:rFonts w:ascii="Arial" w:eastAsia="Times New Roman" w:hAnsi="Arial" w:cs="Arial"/>
          <w:b/>
          <w:bCs/>
          <w:sz w:val="24"/>
          <w:szCs w:val="24"/>
        </w:rPr>
        <w:t>.</w:t>
      </w:r>
      <w:r w:rsidR="00813CF4">
        <w:rPr>
          <w:rFonts w:ascii="Arial" w:eastAsia="Times New Roman" w:hAnsi="Arial" w:cs="Arial"/>
          <w:b/>
          <w:bCs/>
          <w:sz w:val="24"/>
          <w:szCs w:val="24"/>
        </w:rPr>
        <w:t xml:space="preserve"> Ponatinib, et potent middel </w:t>
      </w:r>
      <w:r w:rsidR="00DC7C84">
        <w:rPr>
          <w:rFonts w:ascii="Arial" w:eastAsia="Times New Roman" w:hAnsi="Arial" w:cs="Arial"/>
          <w:b/>
          <w:bCs/>
          <w:sz w:val="24"/>
          <w:szCs w:val="24"/>
        </w:rPr>
        <w:t xml:space="preserve">som </w:t>
      </w:r>
      <w:r w:rsidR="00813CF4">
        <w:rPr>
          <w:rFonts w:ascii="Arial" w:eastAsia="Times New Roman" w:hAnsi="Arial" w:cs="Arial"/>
          <w:b/>
          <w:bCs/>
          <w:sz w:val="24"/>
          <w:szCs w:val="24"/>
        </w:rPr>
        <w:t xml:space="preserve">virker på mange punktmutasjoner er et alternativ </w:t>
      </w:r>
      <w:r w:rsidR="00DC7C84">
        <w:rPr>
          <w:rFonts w:ascii="Arial" w:eastAsia="Times New Roman" w:hAnsi="Arial" w:cs="Arial"/>
          <w:b/>
          <w:bCs/>
          <w:sz w:val="24"/>
          <w:szCs w:val="24"/>
        </w:rPr>
        <w:t xml:space="preserve">ved </w:t>
      </w:r>
      <w:r w:rsidR="00813CF4">
        <w:rPr>
          <w:rFonts w:ascii="Arial" w:eastAsia="Times New Roman" w:hAnsi="Arial" w:cs="Arial"/>
          <w:b/>
          <w:bCs/>
          <w:sz w:val="24"/>
          <w:szCs w:val="24"/>
        </w:rPr>
        <w:t>svikt på 2TKI.</w:t>
      </w:r>
      <w:r w:rsidRPr="006F15EF">
        <w:rPr>
          <w:rFonts w:ascii="Arial" w:eastAsia="Times New Roman" w:hAnsi="Arial" w:cs="Arial"/>
          <w:b/>
          <w:bCs/>
          <w:sz w:val="24"/>
          <w:szCs w:val="24"/>
        </w:rPr>
        <w:t xml:space="preserve"> </w:t>
      </w:r>
      <w:r w:rsidR="00813CF4">
        <w:rPr>
          <w:rFonts w:ascii="Arial" w:eastAsia="Times New Roman" w:hAnsi="Arial" w:cs="Arial"/>
          <w:b/>
          <w:bCs/>
          <w:sz w:val="24"/>
          <w:szCs w:val="24"/>
        </w:rPr>
        <w:t xml:space="preserve">Mulighet for </w:t>
      </w:r>
      <w:r w:rsidRPr="006F15EF">
        <w:rPr>
          <w:rFonts w:ascii="Arial" w:eastAsia="Times New Roman" w:hAnsi="Arial" w:cs="Arial"/>
          <w:b/>
          <w:bCs/>
          <w:sz w:val="24"/>
          <w:szCs w:val="24"/>
        </w:rPr>
        <w:t xml:space="preserve">allo-SCT bør </w:t>
      </w:r>
      <w:r w:rsidR="00813CF4">
        <w:rPr>
          <w:rFonts w:ascii="Arial" w:eastAsia="Times New Roman" w:hAnsi="Arial" w:cs="Arial"/>
          <w:b/>
          <w:bCs/>
          <w:sz w:val="24"/>
          <w:szCs w:val="24"/>
        </w:rPr>
        <w:t xml:space="preserve">utredes og </w:t>
      </w:r>
      <w:r w:rsidRPr="006F15EF">
        <w:rPr>
          <w:rFonts w:ascii="Arial" w:eastAsia="Times New Roman" w:hAnsi="Arial" w:cs="Arial"/>
          <w:b/>
          <w:bCs/>
          <w:sz w:val="24"/>
          <w:szCs w:val="24"/>
        </w:rPr>
        <w:t xml:space="preserve">overveies </w:t>
      </w:r>
      <w:r>
        <w:rPr>
          <w:rFonts w:ascii="Arial" w:eastAsia="Times New Roman" w:hAnsi="Arial" w:cs="Arial"/>
          <w:b/>
          <w:bCs/>
          <w:sz w:val="24"/>
          <w:szCs w:val="24"/>
        </w:rPr>
        <w:t>om</w:t>
      </w:r>
      <w:r w:rsidRPr="006F15EF">
        <w:rPr>
          <w:rFonts w:ascii="Arial" w:eastAsia="Times New Roman" w:hAnsi="Arial" w:cs="Arial"/>
          <w:b/>
          <w:bCs/>
          <w:sz w:val="24"/>
          <w:szCs w:val="24"/>
        </w:rPr>
        <w:t xml:space="preserve"> </w:t>
      </w:r>
      <w:r>
        <w:rPr>
          <w:rFonts w:ascii="Arial" w:eastAsia="Times New Roman" w:hAnsi="Arial" w:cs="Arial"/>
          <w:b/>
          <w:bCs/>
          <w:sz w:val="24"/>
          <w:szCs w:val="24"/>
        </w:rPr>
        <w:t>andre</w:t>
      </w:r>
      <w:r w:rsidRPr="006F15EF">
        <w:rPr>
          <w:rFonts w:ascii="Arial" w:eastAsia="Times New Roman" w:hAnsi="Arial" w:cs="Arial"/>
          <w:b/>
          <w:bCs/>
          <w:sz w:val="24"/>
          <w:szCs w:val="24"/>
        </w:rPr>
        <w:t xml:space="preserve">linjebehandlingen </w:t>
      </w:r>
      <w:r>
        <w:rPr>
          <w:rFonts w:ascii="Arial" w:eastAsia="Times New Roman" w:hAnsi="Arial" w:cs="Arial"/>
          <w:b/>
          <w:bCs/>
          <w:sz w:val="24"/>
          <w:szCs w:val="24"/>
        </w:rPr>
        <w:t>ikke er optimal</w:t>
      </w:r>
      <w:r w:rsidRPr="006F15EF">
        <w:rPr>
          <w:rFonts w:ascii="Arial" w:eastAsia="Times New Roman" w:hAnsi="Arial" w:cs="Arial"/>
          <w:b/>
          <w:bCs/>
          <w:sz w:val="24"/>
          <w:szCs w:val="24"/>
        </w:rPr>
        <w:t xml:space="preserve"> (evidensgrad C). </w:t>
      </w:r>
    </w:p>
    <w:p w14:paraId="501F7804" w14:textId="6C964F77" w:rsidR="006F15EF" w:rsidRPr="006F15EF" w:rsidRDefault="00C126FE" w:rsidP="006F15EF">
      <w:pPr>
        <w:numPr>
          <w:ilvl w:val="0"/>
          <w:numId w:val="2"/>
        </w:numPr>
        <w:spacing w:after="0" w:line="240" w:lineRule="auto"/>
        <w:rPr>
          <w:rFonts w:ascii="Arial" w:eastAsia="Times New Roman" w:hAnsi="Arial" w:cs="Arial"/>
          <w:b/>
          <w:bCs/>
          <w:sz w:val="24"/>
          <w:szCs w:val="24"/>
        </w:rPr>
      </w:pPr>
      <w:r>
        <w:rPr>
          <w:rFonts w:ascii="Arial" w:eastAsia="Times New Roman" w:hAnsi="Arial" w:cs="Arial"/>
          <w:b/>
          <w:bCs/>
          <w:sz w:val="24"/>
          <w:szCs w:val="24"/>
        </w:rPr>
        <w:t>Diskuter</w:t>
      </w:r>
      <w:r w:rsidR="006F15EF" w:rsidRPr="006F15EF">
        <w:rPr>
          <w:rFonts w:ascii="Arial" w:eastAsia="Times New Roman" w:hAnsi="Arial" w:cs="Arial"/>
          <w:b/>
          <w:bCs/>
          <w:sz w:val="24"/>
          <w:szCs w:val="24"/>
        </w:rPr>
        <w:t xml:space="preserve"> alle </w:t>
      </w:r>
      <w:r w:rsidR="008F77FE">
        <w:rPr>
          <w:rFonts w:ascii="Arial" w:eastAsia="Times New Roman" w:hAnsi="Arial" w:cs="Arial"/>
          <w:b/>
          <w:bCs/>
          <w:sz w:val="24"/>
          <w:szCs w:val="24"/>
        </w:rPr>
        <w:t xml:space="preserve">nydiagnostiserte </w:t>
      </w:r>
      <w:r w:rsidR="006F15EF" w:rsidRPr="006F15EF">
        <w:rPr>
          <w:rFonts w:ascii="Arial" w:eastAsia="Times New Roman" w:hAnsi="Arial" w:cs="Arial"/>
          <w:b/>
          <w:bCs/>
          <w:sz w:val="24"/>
          <w:szCs w:val="24"/>
        </w:rPr>
        <w:t xml:space="preserve">pasienter med KML med kolleger ved universitetssykehus, slik at et oppdatert kontroll- og behandlingsopplegg kan iverksettes og at pasientene kan få tilbud om deltakelse i studier (evidensgrad </w:t>
      </w:r>
      <w:r w:rsidR="006F15EF">
        <w:rPr>
          <w:rFonts w:ascii="Arial" w:eastAsia="Times New Roman" w:hAnsi="Arial" w:cs="Arial"/>
          <w:b/>
          <w:bCs/>
          <w:sz w:val="24"/>
          <w:szCs w:val="24"/>
        </w:rPr>
        <w:t>C</w:t>
      </w:r>
      <w:r w:rsidR="006F15EF" w:rsidRPr="006F15EF">
        <w:rPr>
          <w:rFonts w:ascii="Arial" w:eastAsia="Times New Roman" w:hAnsi="Arial" w:cs="Arial"/>
          <w:b/>
          <w:bCs/>
          <w:sz w:val="24"/>
          <w:szCs w:val="24"/>
        </w:rPr>
        <w:t>)</w:t>
      </w:r>
    </w:p>
    <w:p w14:paraId="624C1C00" w14:textId="66C2D9B1" w:rsidR="006F15EF" w:rsidRDefault="006F15EF" w:rsidP="006F15EF">
      <w:pPr>
        <w:numPr>
          <w:ilvl w:val="0"/>
          <w:numId w:val="2"/>
        </w:numPr>
        <w:spacing w:after="0" w:line="240" w:lineRule="auto"/>
        <w:rPr>
          <w:rFonts w:ascii="Arial" w:eastAsia="Times New Roman" w:hAnsi="Arial" w:cs="Arial"/>
          <w:b/>
          <w:bCs/>
          <w:sz w:val="24"/>
          <w:szCs w:val="24"/>
        </w:rPr>
      </w:pPr>
      <w:r w:rsidRPr="006F15EF">
        <w:rPr>
          <w:rFonts w:ascii="Arial" w:eastAsia="Times New Roman" w:hAnsi="Arial" w:cs="Arial"/>
          <w:b/>
          <w:bCs/>
          <w:sz w:val="24"/>
          <w:szCs w:val="24"/>
        </w:rPr>
        <w:t xml:space="preserve">Effekten av TKI </w:t>
      </w:r>
      <w:r w:rsidR="00F31BB1">
        <w:rPr>
          <w:rFonts w:ascii="Arial" w:eastAsia="Times New Roman" w:hAnsi="Arial" w:cs="Arial"/>
          <w:b/>
          <w:bCs/>
          <w:sz w:val="24"/>
          <w:szCs w:val="24"/>
        </w:rPr>
        <w:t xml:space="preserve">med RT-qPCR </w:t>
      </w:r>
      <w:r w:rsidRPr="006F15EF">
        <w:rPr>
          <w:rFonts w:ascii="Arial" w:eastAsia="Times New Roman" w:hAnsi="Arial" w:cs="Arial"/>
          <w:b/>
          <w:bCs/>
          <w:sz w:val="24"/>
          <w:szCs w:val="24"/>
        </w:rPr>
        <w:t xml:space="preserve">ved </w:t>
      </w:r>
      <w:r w:rsidR="00F31BB1">
        <w:rPr>
          <w:rFonts w:ascii="Arial" w:eastAsia="Times New Roman" w:hAnsi="Arial" w:cs="Arial"/>
          <w:b/>
          <w:bCs/>
          <w:sz w:val="24"/>
          <w:szCs w:val="24"/>
        </w:rPr>
        <w:t xml:space="preserve">gitte </w:t>
      </w:r>
      <w:r>
        <w:rPr>
          <w:rFonts w:ascii="Arial" w:eastAsia="Times New Roman" w:hAnsi="Arial" w:cs="Arial"/>
          <w:b/>
          <w:bCs/>
          <w:sz w:val="24"/>
          <w:szCs w:val="24"/>
        </w:rPr>
        <w:t>milepæler</w:t>
      </w:r>
      <w:r w:rsidRPr="006F15EF">
        <w:rPr>
          <w:rFonts w:ascii="Arial" w:eastAsia="Times New Roman" w:hAnsi="Arial" w:cs="Arial"/>
          <w:b/>
          <w:bCs/>
          <w:sz w:val="24"/>
          <w:szCs w:val="24"/>
        </w:rPr>
        <w:t xml:space="preserve"> er prognostisk</w:t>
      </w:r>
      <w:r w:rsidR="00F31BB1">
        <w:rPr>
          <w:rFonts w:ascii="Arial" w:eastAsia="Times New Roman" w:hAnsi="Arial" w:cs="Arial"/>
          <w:b/>
          <w:bCs/>
          <w:sz w:val="24"/>
          <w:szCs w:val="24"/>
        </w:rPr>
        <w:t xml:space="preserve"> viktig</w:t>
      </w:r>
      <w:r w:rsidRPr="006F15EF">
        <w:rPr>
          <w:rFonts w:ascii="Arial" w:eastAsia="Times New Roman" w:hAnsi="Arial" w:cs="Arial"/>
          <w:b/>
          <w:bCs/>
          <w:sz w:val="24"/>
          <w:szCs w:val="24"/>
        </w:rPr>
        <w:t xml:space="preserve"> </w:t>
      </w:r>
      <w:r w:rsidR="00C126FE">
        <w:rPr>
          <w:rFonts w:ascii="Arial" w:eastAsia="Times New Roman" w:hAnsi="Arial" w:cs="Arial"/>
          <w:b/>
          <w:bCs/>
          <w:sz w:val="24"/>
          <w:szCs w:val="24"/>
        </w:rPr>
        <w:t>(se avsnitt 6.4.4)</w:t>
      </w:r>
      <w:r w:rsidR="00520FFD">
        <w:rPr>
          <w:rFonts w:ascii="Arial" w:eastAsia="Times New Roman" w:hAnsi="Arial" w:cs="Arial"/>
          <w:b/>
          <w:bCs/>
          <w:sz w:val="24"/>
          <w:szCs w:val="24"/>
        </w:rPr>
        <w:t xml:space="preserve">. </w:t>
      </w:r>
    </w:p>
    <w:p w14:paraId="33D1FA93" w14:textId="62B514E7" w:rsidR="00F31BB1" w:rsidRPr="006F15EF" w:rsidRDefault="00F31BB1" w:rsidP="006F15EF">
      <w:pPr>
        <w:numPr>
          <w:ilvl w:val="0"/>
          <w:numId w:val="2"/>
        </w:numPr>
        <w:spacing w:after="0" w:line="240" w:lineRule="auto"/>
        <w:rPr>
          <w:rFonts w:ascii="Arial" w:eastAsia="Times New Roman" w:hAnsi="Arial" w:cs="Arial"/>
          <w:b/>
          <w:bCs/>
          <w:sz w:val="24"/>
          <w:szCs w:val="24"/>
        </w:rPr>
      </w:pPr>
      <w:r>
        <w:rPr>
          <w:rFonts w:ascii="Arial" w:eastAsia="Times New Roman" w:hAnsi="Arial" w:cs="Arial"/>
          <w:b/>
          <w:bCs/>
          <w:sz w:val="24"/>
          <w:szCs w:val="24"/>
        </w:rPr>
        <w:t>Langvarig dyp molekylær respons er en forutsetning for seponeringsforsøk for å oppnå behandlingsfri remisjon</w:t>
      </w:r>
    </w:p>
    <w:p w14:paraId="1CDB1115" w14:textId="102BCC46" w:rsidR="006F15EF" w:rsidRDefault="006F15EF" w:rsidP="006F15EF">
      <w:pPr>
        <w:numPr>
          <w:ilvl w:val="0"/>
          <w:numId w:val="2"/>
        </w:numPr>
        <w:spacing w:after="0" w:line="240" w:lineRule="auto"/>
        <w:rPr>
          <w:rFonts w:ascii="Arial" w:eastAsia="Times New Roman" w:hAnsi="Arial" w:cs="Arial"/>
          <w:b/>
          <w:bCs/>
          <w:sz w:val="24"/>
          <w:szCs w:val="24"/>
        </w:rPr>
      </w:pPr>
      <w:r w:rsidRPr="006F15EF">
        <w:rPr>
          <w:rFonts w:ascii="Arial" w:eastAsia="Times New Roman" w:hAnsi="Arial" w:cs="Arial"/>
          <w:b/>
          <w:bCs/>
          <w:sz w:val="24"/>
          <w:szCs w:val="24"/>
        </w:rPr>
        <w:t>Ved diagnose/debut i blastfase vil man oftest oppfatte tilstanden som akutt myelogen eller lymfatisk leukemi og behandle etter handlingsprogram for hhv. AML/ALL. Påvises BCR-ABL eller Ph+, bør man i tillegg samtidig gi høydosert TKI (evidensgrad B)</w:t>
      </w:r>
      <w:r w:rsidR="00C126FE">
        <w:rPr>
          <w:rFonts w:ascii="Arial" w:eastAsia="Times New Roman" w:hAnsi="Arial" w:cs="Arial"/>
          <w:b/>
          <w:bCs/>
          <w:sz w:val="24"/>
          <w:szCs w:val="24"/>
        </w:rPr>
        <w:t xml:space="preserve">. Enkelte pasienter med debut i akselerert fase har optimal respons på TKI, resten bør vurderes for stamcelletransplantasjon </w:t>
      </w:r>
      <w:r w:rsidR="001A24B8">
        <w:rPr>
          <w:rFonts w:ascii="Arial" w:eastAsia="Times New Roman" w:hAnsi="Arial" w:cs="Arial"/>
          <w:b/>
          <w:bCs/>
          <w:sz w:val="24"/>
          <w:szCs w:val="24"/>
        </w:rPr>
        <w:t>opp</w:t>
      </w:r>
      <w:r w:rsidR="00C126FE">
        <w:rPr>
          <w:rFonts w:ascii="Arial" w:eastAsia="Times New Roman" w:hAnsi="Arial" w:cs="Arial"/>
          <w:b/>
          <w:bCs/>
          <w:sz w:val="24"/>
          <w:szCs w:val="24"/>
        </w:rPr>
        <w:t xml:space="preserve"> til 70-75 års alder.</w:t>
      </w:r>
    </w:p>
    <w:p w14:paraId="7B485884" w14:textId="44219008" w:rsidR="00F9310E" w:rsidRDefault="00F9310E" w:rsidP="00F9310E">
      <w:pPr>
        <w:spacing w:after="0" w:line="240" w:lineRule="auto"/>
        <w:rPr>
          <w:rFonts w:ascii="Arial" w:eastAsia="Times New Roman" w:hAnsi="Arial" w:cs="Arial"/>
          <w:b/>
          <w:bCs/>
          <w:sz w:val="24"/>
          <w:szCs w:val="24"/>
        </w:rPr>
      </w:pPr>
      <w:r>
        <w:rPr>
          <w:rFonts w:ascii="Arial" w:eastAsia="Times New Roman" w:hAnsi="Arial" w:cs="Arial"/>
          <w:b/>
          <w:bCs/>
          <w:noProof/>
          <w:sz w:val="24"/>
          <w:szCs w:val="24"/>
          <w:u w:val="single"/>
          <w:lang w:eastAsia="nb-NO"/>
        </w:rPr>
        <mc:AlternateContent>
          <mc:Choice Requires="wps">
            <w:drawing>
              <wp:anchor distT="0" distB="0" distL="114300" distR="114300" simplePos="0" relativeHeight="251658240" behindDoc="0" locked="0" layoutInCell="1" allowOverlap="1" wp14:anchorId="52E38CBF" wp14:editId="29AE6D75">
                <wp:simplePos x="0" y="0"/>
                <wp:positionH relativeFrom="margin">
                  <wp:posOffset>-320040</wp:posOffset>
                </wp:positionH>
                <wp:positionV relativeFrom="paragraph">
                  <wp:posOffset>72390</wp:posOffset>
                </wp:positionV>
                <wp:extent cx="6115050" cy="1568450"/>
                <wp:effectExtent l="19050" t="19050" r="19050" b="12700"/>
                <wp:wrapNone/>
                <wp:docPr id="2" name="Text Box 2"/>
                <wp:cNvGraphicFramePr/>
                <a:graphic xmlns:a="http://schemas.openxmlformats.org/drawingml/2006/main">
                  <a:graphicData uri="http://schemas.microsoft.com/office/word/2010/wordprocessingShape">
                    <wps:wsp>
                      <wps:cNvSpPr txBox="1"/>
                      <wps:spPr>
                        <a:xfrm>
                          <a:off x="0" y="0"/>
                          <a:ext cx="6115050" cy="1568450"/>
                        </a:xfrm>
                        <a:prstGeom prst="rect">
                          <a:avLst/>
                        </a:prstGeom>
                        <a:solidFill>
                          <a:schemeClr val="lt1"/>
                        </a:solidFill>
                        <a:ln w="38100">
                          <a:solidFill>
                            <a:schemeClr val="tx2">
                              <a:lumMod val="75000"/>
                            </a:schemeClr>
                          </a:solidFill>
                        </a:ln>
                      </wps:spPr>
                      <wps:txbx>
                        <w:txbxContent>
                          <w:p w14:paraId="07B6823E" w14:textId="391DF846" w:rsidR="00844097" w:rsidRPr="001E7090" w:rsidRDefault="00844097" w:rsidP="001E7090">
                            <w:pPr>
                              <w:spacing w:after="0" w:line="240" w:lineRule="auto"/>
                              <w:ind w:left="567"/>
                              <w:jc w:val="center"/>
                              <w:rPr>
                                <w:rFonts w:ascii="Arial" w:eastAsia="Times New Roman" w:hAnsi="Arial" w:cs="Arial"/>
                                <w:b/>
                                <w:bCs/>
                                <w:sz w:val="24"/>
                                <w:szCs w:val="24"/>
                                <w:u w:val="single"/>
                              </w:rPr>
                            </w:pPr>
                            <w:r w:rsidRPr="001E7090">
                              <w:rPr>
                                <w:rFonts w:ascii="Arial" w:eastAsia="Times New Roman" w:hAnsi="Arial" w:cs="Arial"/>
                                <w:b/>
                                <w:bCs/>
                                <w:sz w:val="24"/>
                                <w:szCs w:val="24"/>
                                <w:u w:val="single"/>
                              </w:rPr>
                              <w:t xml:space="preserve">Hovedsakelige endringer fra </w:t>
                            </w:r>
                            <w:r>
                              <w:rPr>
                                <w:rFonts w:ascii="Arial" w:eastAsia="Times New Roman" w:hAnsi="Arial" w:cs="Arial"/>
                                <w:b/>
                                <w:bCs/>
                                <w:sz w:val="24"/>
                                <w:szCs w:val="24"/>
                                <w:u w:val="single"/>
                              </w:rPr>
                              <w:t>tidliger</w:t>
                            </w:r>
                            <w:r w:rsidRPr="001E7090">
                              <w:rPr>
                                <w:rFonts w:ascii="Arial" w:eastAsia="Times New Roman" w:hAnsi="Arial" w:cs="Arial"/>
                                <w:b/>
                                <w:bCs/>
                                <w:sz w:val="24"/>
                                <w:szCs w:val="24"/>
                                <w:u w:val="single"/>
                              </w:rPr>
                              <w:t>e handlingsprogram:</w:t>
                            </w:r>
                          </w:p>
                          <w:p w14:paraId="7FAF3346" w14:textId="77777777" w:rsidR="00844097" w:rsidRPr="001E7090" w:rsidRDefault="00844097" w:rsidP="001E7090">
                            <w:pPr>
                              <w:pStyle w:val="ListParagraph"/>
                              <w:numPr>
                                <w:ilvl w:val="0"/>
                                <w:numId w:val="17"/>
                              </w:numPr>
                              <w:spacing w:after="0" w:line="240" w:lineRule="auto"/>
                              <w:rPr>
                                <w:rFonts w:ascii="Arial" w:eastAsia="Times New Roman" w:hAnsi="Arial" w:cs="Arial"/>
                                <w:sz w:val="24"/>
                                <w:szCs w:val="24"/>
                              </w:rPr>
                            </w:pPr>
                            <w:r w:rsidRPr="001E7090">
                              <w:rPr>
                                <w:rFonts w:ascii="Arial" w:eastAsia="Times New Roman" w:hAnsi="Arial" w:cs="Arial"/>
                                <w:sz w:val="24"/>
                                <w:szCs w:val="24"/>
                              </w:rPr>
                              <w:t>Risikoskår: Kun ELTS skal brukes</w:t>
                            </w:r>
                          </w:p>
                          <w:p w14:paraId="7F4F11D1" w14:textId="4ECEA658" w:rsidR="00844097" w:rsidRDefault="00844097" w:rsidP="001E7090">
                            <w:pPr>
                              <w:pStyle w:val="ListParagraph"/>
                              <w:numPr>
                                <w:ilvl w:val="0"/>
                                <w:numId w:val="17"/>
                              </w:numPr>
                              <w:spacing w:after="0" w:line="240" w:lineRule="auto"/>
                              <w:rPr>
                                <w:rFonts w:ascii="Arial" w:eastAsia="Times New Roman" w:hAnsi="Arial" w:cs="Arial"/>
                                <w:sz w:val="24"/>
                                <w:szCs w:val="24"/>
                              </w:rPr>
                            </w:pPr>
                            <w:r w:rsidRPr="001E7090">
                              <w:rPr>
                                <w:rFonts w:ascii="Arial" w:eastAsia="Times New Roman" w:hAnsi="Arial" w:cs="Arial"/>
                                <w:sz w:val="24"/>
                                <w:szCs w:val="24"/>
                              </w:rPr>
                              <w:t xml:space="preserve">Karyotype bestemmes kun ved debut. Respons vurderes med RT-qPCR </w:t>
                            </w:r>
                          </w:p>
                          <w:p w14:paraId="3F73C2D3" w14:textId="4DCA794F" w:rsidR="00844097" w:rsidRDefault="00844097" w:rsidP="001E7090">
                            <w:pPr>
                              <w:pStyle w:val="ListParagraph"/>
                              <w:numPr>
                                <w:ilvl w:val="0"/>
                                <w:numId w:val="17"/>
                              </w:numPr>
                              <w:spacing w:after="0" w:line="240" w:lineRule="auto"/>
                              <w:rPr>
                                <w:rFonts w:ascii="Arial" w:eastAsia="Times New Roman" w:hAnsi="Arial" w:cs="Arial"/>
                                <w:sz w:val="24"/>
                                <w:szCs w:val="24"/>
                              </w:rPr>
                            </w:pPr>
                            <w:r w:rsidRPr="001E7090">
                              <w:rPr>
                                <w:rFonts w:ascii="Arial" w:eastAsia="Times New Roman" w:hAnsi="Arial" w:cs="Arial"/>
                                <w:sz w:val="24"/>
                                <w:szCs w:val="24"/>
                              </w:rPr>
                              <w:t>Behandlingssvikt etter 12 måneder og senere defineres som</w:t>
                            </w:r>
                            <w:r>
                              <w:rPr>
                                <w:rFonts w:ascii="Arial" w:eastAsia="Times New Roman" w:hAnsi="Arial" w:cs="Arial"/>
                                <w:sz w:val="24"/>
                                <w:szCs w:val="24"/>
                              </w:rPr>
                              <w:t xml:space="preserve"> </w:t>
                            </w:r>
                            <w:r w:rsidRPr="001E7090">
                              <w:rPr>
                                <w:rFonts w:ascii="Arial" w:eastAsia="Times New Roman" w:hAnsi="Arial" w:cs="Arial"/>
                                <w:sz w:val="24"/>
                                <w:szCs w:val="24"/>
                              </w:rPr>
                              <w:t>transkriptniv</w:t>
                            </w:r>
                            <w:r>
                              <w:rPr>
                                <w:rFonts w:ascii="Arial" w:eastAsia="Times New Roman" w:hAnsi="Arial" w:cs="Arial"/>
                                <w:sz w:val="24"/>
                                <w:szCs w:val="24"/>
                              </w:rPr>
                              <w:t>å</w:t>
                            </w:r>
                            <w:r w:rsidRPr="001E7090">
                              <w:rPr>
                                <w:rFonts w:ascii="Arial" w:eastAsia="Times New Roman" w:hAnsi="Arial" w:cs="Arial"/>
                                <w:sz w:val="24"/>
                                <w:szCs w:val="24"/>
                              </w:rPr>
                              <w:t xml:space="preserve"> &gt;1%, </w:t>
                            </w:r>
                            <w:r>
                              <w:rPr>
                                <w:rFonts w:ascii="Arial" w:eastAsia="Times New Roman" w:hAnsi="Arial" w:cs="Arial"/>
                                <w:sz w:val="24"/>
                                <w:szCs w:val="24"/>
                              </w:rPr>
                              <w:t>siden dette nivået</w:t>
                            </w:r>
                            <w:r w:rsidRPr="001E7090">
                              <w:rPr>
                                <w:rFonts w:ascii="Arial" w:eastAsia="Times New Roman" w:hAnsi="Arial" w:cs="Arial"/>
                                <w:sz w:val="24"/>
                                <w:szCs w:val="24"/>
                              </w:rPr>
                              <w:t xml:space="preserve"> har best korrelasjon m</w:t>
                            </w:r>
                            <w:r>
                              <w:rPr>
                                <w:rFonts w:ascii="Arial" w:eastAsia="Times New Roman" w:hAnsi="Arial" w:cs="Arial"/>
                                <w:sz w:val="24"/>
                                <w:szCs w:val="24"/>
                              </w:rPr>
                              <w:t>ed</w:t>
                            </w:r>
                            <w:r w:rsidRPr="001E7090">
                              <w:rPr>
                                <w:rFonts w:ascii="Arial" w:eastAsia="Times New Roman" w:hAnsi="Arial" w:cs="Arial"/>
                                <w:sz w:val="24"/>
                                <w:szCs w:val="24"/>
                              </w:rPr>
                              <w:t xml:space="preserve"> overlevelse </w:t>
                            </w:r>
                          </w:p>
                          <w:p w14:paraId="68D06EE2" w14:textId="2DE04B32" w:rsidR="00844097" w:rsidRDefault="00844097" w:rsidP="001E7090">
                            <w:pPr>
                              <w:pStyle w:val="ListParagraph"/>
                              <w:numPr>
                                <w:ilvl w:val="0"/>
                                <w:numId w:val="17"/>
                              </w:numPr>
                              <w:spacing w:after="0" w:line="240" w:lineRule="auto"/>
                              <w:rPr>
                                <w:rFonts w:ascii="Arial" w:eastAsia="Times New Roman" w:hAnsi="Arial" w:cs="Arial"/>
                                <w:sz w:val="24"/>
                                <w:szCs w:val="24"/>
                              </w:rPr>
                            </w:pPr>
                            <w:r w:rsidRPr="001E7090">
                              <w:rPr>
                                <w:rFonts w:ascii="Arial" w:eastAsia="Times New Roman" w:hAnsi="Arial" w:cs="Arial"/>
                                <w:sz w:val="24"/>
                                <w:szCs w:val="24"/>
                              </w:rPr>
                              <w:t xml:space="preserve">Behandlingsfri remisjon (TFR) er et realistisk </w:t>
                            </w:r>
                            <w:r>
                              <w:rPr>
                                <w:rFonts w:ascii="Arial" w:eastAsia="Times New Roman" w:hAnsi="Arial" w:cs="Arial"/>
                                <w:sz w:val="24"/>
                                <w:szCs w:val="24"/>
                              </w:rPr>
                              <w:t>behandlingsmål for</w:t>
                            </w:r>
                            <w:r w:rsidRPr="001E7090">
                              <w:rPr>
                                <w:rFonts w:ascii="Arial" w:eastAsia="Times New Roman" w:hAnsi="Arial" w:cs="Arial"/>
                                <w:sz w:val="24"/>
                                <w:szCs w:val="24"/>
                              </w:rPr>
                              <w:t xml:space="preserve"> mange pasienter</w:t>
                            </w:r>
                          </w:p>
                          <w:p w14:paraId="18EBBE30" w14:textId="10B1846D" w:rsidR="00844097" w:rsidRPr="001E7090" w:rsidRDefault="00844097" w:rsidP="001E7090">
                            <w:pPr>
                              <w:pStyle w:val="ListParagraph"/>
                              <w:numPr>
                                <w:ilvl w:val="0"/>
                                <w:numId w:val="17"/>
                              </w:numPr>
                              <w:spacing w:after="0" w:line="240" w:lineRule="auto"/>
                              <w:rPr>
                                <w:rFonts w:ascii="Arial" w:eastAsia="Times New Roman" w:hAnsi="Arial" w:cs="Arial"/>
                                <w:sz w:val="24"/>
                                <w:szCs w:val="24"/>
                              </w:rPr>
                            </w:pPr>
                            <w:r>
                              <w:rPr>
                                <w:rFonts w:ascii="Arial" w:eastAsia="Times New Roman" w:hAnsi="Arial" w:cs="Arial"/>
                                <w:sz w:val="24"/>
                                <w:szCs w:val="24"/>
                              </w:rPr>
                              <w:t>Ponatinibs rolle nyanseres</w:t>
                            </w:r>
                          </w:p>
                          <w:p w14:paraId="29635542" w14:textId="77777777" w:rsidR="00844097" w:rsidRDefault="008440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E38CBF" id="_x0000_t202" coordsize="21600,21600" o:spt="202" path="m,l,21600r21600,l21600,xe">
                <v:stroke joinstyle="miter"/>
                <v:path gradientshapeok="t" o:connecttype="rect"/>
              </v:shapetype>
              <v:shape id="Text Box 2" o:spid="_x0000_s1026" type="#_x0000_t202" style="position:absolute;margin-left:-25.2pt;margin-top:5.7pt;width:481.5pt;height:123.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" fillcolor="white [3201]" strokecolor="#323e4f [2415]" strokeweight="3pt">
                <v:textbox>
                  <w:txbxContent>
                    <w:p w14:paraId="07B6823E" w14:textId="391DF846" w:rsidR="00844097" w:rsidRPr="001E7090" w:rsidRDefault="00844097" w:rsidP="001E7090">
                      <w:pPr>
                        <w:spacing w:after="0" w:line="240" w:lineRule="auto"/>
                        <w:ind w:left="567"/>
                        <w:jc w:val="center"/>
                        <w:rPr>
                          <w:rFonts w:ascii="Arial" w:eastAsia="Times New Roman" w:hAnsi="Arial" w:cs="Arial"/>
                          <w:b/>
                          <w:bCs/>
                          <w:sz w:val="24"/>
                          <w:szCs w:val="24"/>
                          <w:u w:val="single"/>
                        </w:rPr>
                      </w:pPr>
                      <w:r w:rsidRPr="001E7090">
                        <w:rPr>
                          <w:rFonts w:ascii="Arial" w:eastAsia="Times New Roman" w:hAnsi="Arial" w:cs="Arial"/>
                          <w:b/>
                          <w:bCs/>
                          <w:sz w:val="24"/>
                          <w:szCs w:val="24"/>
                          <w:u w:val="single"/>
                        </w:rPr>
                        <w:t xml:space="preserve">Hovedsakelige endringer fra </w:t>
                      </w:r>
                      <w:r>
                        <w:rPr>
                          <w:rFonts w:ascii="Arial" w:eastAsia="Times New Roman" w:hAnsi="Arial" w:cs="Arial"/>
                          <w:b/>
                          <w:bCs/>
                          <w:sz w:val="24"/>
                          <w:szCs w:val="24"/>
                          <w:u w:val="single"/>
                        </w:rPr>
                        <w:t>tidliger</w:t>
                      </w:r>
                      <w:r w:rsidRPr="001E7090">
                        <w:rPr>
                          <w:rFonts w:ascii="Arial" w:eastAsia="Times New Roman" w:hAnsi="Arial" w:cs="Arial"/>
                          <w:b/>
                          <w:bCs/>
                          <w:sz w:val="24"/>
                          <w:szCs w:val="24"/>
                          <w:u w:val="single"/>
                        </w:rPr>
                        <w:t>e handlingsprogram:</w:t>
                      </w:r>
                    </w:p>
                    <w:p w14:paraId="7FAF3346" w14:textId="77777777" w:rsidR="00844097" w:rsidRPr="001E7090" w:rsidRDefault="00844097" w:rsidP="001E7090">
                      <w:pPr>
                        <w:pStyle w:val="ListParagraph"/>
                        <w:numPr>
                          <w:ilvl w:val="0"/>
                          <w:numId w:val="17"/>
                        </w:numPr>
                        <w:spacing w:after="0" w:line="240" w:lineRule="auto"/>
                        <w:rPr>
                          <w:rFonts w:ascii="Arial" w:eastAsia="Times New Roman" w:hAnsi="Arial" w:cs="Arial"/>
                          <w:sz w:val="24"/>
                          <w:szCs w:val="24"/>
                        </w:rPr>
                      </w:pPr>
                      <w:r w:rsidRPr="001E7090">
                        <w:rPr>
                          <w:rFonts w:ascii="Arial" w:eastAsia="Times New Roman" w:hAnsi="Arial" w:cs="Arial"/>
                          <w:sz w:val="24"/>
                          <w:szCs w:val="24"/>
                        </w:rPr>
                        <w:t>Risikoskår: Kun ELTS skal brukes</w:t>
                      </w:r>
                    </w:p>
                    <w:p w14:paraId="7F4F11D1" w14:textId="4ECEA658" w:rsidR="00844097" w:rsidRDefault="00844097" w:rsidP="001E7090">
                      <w:pPr>
                        <w:pStyle w:val="ListParagraph"/>
                        <w:numPr>
                          <w:ilvl w:val="0"/>
                          <w:numId w:val="17"/>
                        </w:numPr>
                        <w:spacing w:after="0" w:line="240" w:lineRule="auto"/>
                        <w:rPr>
                          <w:rFonts w:ascii="Arial" w:eastAsia="Times New Roman" w:hAnsi="Arial" w:cs="Arial"/>
                          <w:sz w:val="24"/>
                          <w:szCs w:val="24"/>
                        </w:rPr>
                      </w:pPr>
                      <w:r w:rsidRPr="001E7090">
                        <w:rPr>
                          <w:rFonts w:ascii="Arial" w:eastAsia="Times New Roman" w:hAnsi="Arial" w:cs="Arial"/>
                          <w:sz w:val="24"/>
                          <w:szCs w:val="24"/>
                        </w:rPr>
                        <w:t xml:space="preserve">Karyotype bestemmes kun ved debut. Respons vurderes med RT-qPCR </w:t>
                      </w:r>
                    </w:p>
                    <w:p w14:paraId="3F73C2D3" w14:textId="4DCA794F" w:rsidR="00844097" w:rsidRDefault="00844097" w:rsidP="001E7090">
                      <w:pPr>
                        <w:pStyle w:val="ListParagraph"/>
                        <w:numPr>
                          <w:ilvl w:val="0"/>
                          <w:numId w:val="17"/>
                        </w:numPr>
                        <w:spacing w:after="0" w:line="240" w:lineRule="auto"/>
                        <w:rPr>
                          <w:rFonts w:ascii="Arial" w:eastAsia="Times New Roman" w:hAnsi="Arial" w:cs="Arial"/>
                          <w:sz w:val="24"/>
                          <w:szCs w:val="24"/>
                        </w:rPr>
                      </w:pPr>
                      <w:r w:rsidRPr="001E7090">
                        <w:rPr>
                          <w:rFonts w:ascii="Arial" w:eastAsia="Times New Roman" w:hAnsi="Arial" w:cs="Arial"/>
                          <w:sz w:val="24"/>
                          <w:szCs w:val="24"/>
                        </w:rPr>
                        <w:t>Behandlingssvikt etter 12 måneder og senere defineres som</w:t>
                      </w:r>
                      <w:r>
                        <w:rPr>
                          <w:rFonts w:ascii="Arial" w:eastAsia="Times New Roman" w:hAnsi="Arial" w:cs="Arial"/>
                          <w:sz w:val="24"/>
                          <w:szCs w:val="24"/>
                        </w:rPr>
                        <w:t xml:space="preserve"> </w:t>
                      </w:r>
                      <w:r w:rsidRPr="001E7090">
                        <w:rPr>
                          <w:rFonts w:ascii="Arial" w:eastAsia="Times New Roman" w:hAnsi="Arial" w:cs="Arial"/>
                          <w:sz w:val="24"/>
                          <w:szCs w:val="24"/>
                        </w:rPr>
                        <w:t>transkriptniv</w:t>
                      </w:r>
                      <w:r>
                        <w:rPr>
                          <w:rFonts w:ascii="Arial" w:eastAsia="Times New Roman" w:hAnsi="Arial" w:cs="Arial"/>
                          <w:sz w:val="24"/>
                          <w:szCs w:val="24"/>
                        </w:rPr>
                        <w:t>å</w:t>
                      </w:r>
                      <w:r w:rsidRPr="001E7090">
                        <w:rPr>
                          <w:rFonts w:ascii="Arial" w:eastAsia="Times New Roman" w:hAnsi="Arial" w:cs="Arial"/>
                          <w:sz w:val="24"/>
                          <w:szCs w:val="24"/>
                        </w:rPr>
                        <w:t xml:space="preserve"> &gt;1%, </w:t>
                      </w:r>
                      <w:r>
                        <w:rPr>
                          <w:rFonts w:ascii="Arial" w:eastAsia="Times New Roman" w:hAnsi="Arial" w:cs="Arial"/>
                          <w:sz w:val="24"/>
                          <w:szCs w:val="24"/>
                        </w:rPr>
                        <w:t>siden dette nivået</w:t>
                      </w:r>
                      <w:r w:rsidRPr="001E7090">
                        <w:rPr>
                          <w:rFonts w:ascii="Arial" w:eastAsia="Times New Roman" w:hAnsi="Arial" w:cs="Arial"/>
                          <w:sz w:val="24"/>
                          <w:szCs w:val="24"/>
                        </w:rPr>
                        <w:t xml:space="preserve"> har best korrelasjon m</w:t>
                      </w:r>
                      <w:r>
                        <w:rPr>
                          <w:rFonts w:ascii="Arial" w:eastAsia="Times New Roman" w:hAnsi="Arial" w:cs="Arial"/>
                          <w:sz w:val="24"/>
                          <w:szCs w:val="24"/>
                        </w:rPr>
                        <w:t>ed</w:t>
                      </w:r>
                      <w:r w:rsidRPr="001E7090">
                        <w:rPr>
                          <w:rFonts w:ascii="Arial" w:eastAsia="Times New Roman" w:hAnsi="Arial" w:cs="Arial"/>
                          <w:sz w:val="24"/>
                          <w:szCs w:val="24"/>
                        </w:rPr>
                        <w:t xml:space="preserve"> overlevelse </w:t>
                      </w:r>
                    </w:p>
                    <w:p w14:paraId="68D06EE2" w14:textId="2DE04B32" w:rsidR="00844097" w:rsidRDefault="00844097" w:rsidP="001E7090">
                      <w:pPr>
                        <w:pStyle w:val="ListParagraph"/>
                        <w:numPr>
                          <w:ilvl w:val="0"/>
                          <w:numId w:val="17"/>
                        </w:numPr>
                        <w:spacing w:after="0" w:line="240" w:lineRule="auto"/>
                        <w:rPr>
                          <w:rFonts w:ascii="Arial" w:eastAsia="Times New Roman" w:hAnsi="Arial" w:cs="Arial"/>
                          <w:sz w:val="24"/>
                          <w:szCs w:val="24"/>
                        </w:rPr>
                      </w:pPr>
                      <w:r w:rsidRPr="001E7090">
                        <w:rPr>
                          <w:rFonts w:ascii="Arial" w:eastAsia="Times New Roman" w:hAnsi="Arial" w:cs="Arial"/>
                          <w:sz w:val="24"/>
                          <w:szCs w:val="24"/>
                        </w:rPr>
                        <w:t xml:space="preserve">Behandlingsfri remisjon (TFR) er et realistisk </w:t>
                      </w:r>
                      <w:r>
                        <w:rPr>
                          <w:rFonts w:ascii="Arial" w:eastAsia="Times New Roman" w:hAnsi="Arial" w:cs="Arial"/>
                          <w:sz w:val="24"/>
                          <w:szCs w:val="24"/>
                        </w:rPr>
                        <w:t>behandlingsmål for</w:t>
                      </w:r>
                      <w:r w:rsidRPr="001E7090">
                        <w:rPr>
                          <w:rFonts w:ascii="Arial" w:eastAsia="Times New Roman" w:hAnsi="Arial" w:cs="Arial"/>
                          <w:sz w:val="24"/>
                          <w:szCs w:val="24"/>
                        </w:rPr>
                        <w:t xml:space="preserve"> mange pasienter</w:t>
                      </w:r>
                    </w:p>
                    <w:p w14:paraId="18EBBE30" w14:textId="10B1846D" w:rsidR="00844097" w:rsidRPr="001E7090" w:rsidRDefault="00844097" w:rsidP="001E7090">
                      <w:pPr>
                        <w:pStyle w:val="ListParagraph"/>
                        <w:numPr>
                          <w:ilvl w:val="0"/>
                          <w:numId w:val="17"/>
                        </w:numPr>
                        <w:spacing w:after="0" w:line="240" w:lineRule="auto"/>
                        <w:rPr>
                          <w:rFonts w:ascii="Arial" w:eastAsia="Times New Roman" w:hAnsi="Arial" w:cs="Arial"/>
                          <w:sz w:val="24"/>
                          <w:szCs w:val="24"/>
                        </w:rPr>
                      </w:pPr>
                      <w:r>
                        <w:rPr>
                          <w:rFonts w:ascii="Arial" w:eastAsia="Times New Roman" w:hAnsi="Arial" w:cs="Arial"/>
                          <w:sz w:val="24"/>
                          <w:szCs w:val="24"/>
                        </w:rPr>
                        <w:t>Ponatinibs rolle nyanseres</w:t>
                      </w:r>
                    </w:p>
                    <w:p w14:paraId="29635542" w14:textId="77777777" w:rsidR="00844097" w:rsidRDefault="00844097"/>
                  </w:txbxContent>
                </v:textbox>
                <w10:wrap anchorx="margin"/>
              </v:shape>
            </w:pict>
          </mc:Fallback>
        </mc:AlternateContent>
      </w:r>
    </w:p>
    <w:p w14:paraId="1EAC5A90" w14:textId="2D4BD3B7" w:rsidR="00F9310E" w:rsidRDefault="00F9310E" w:rsidP="00153DDF">
      <w:pPr>
        <w:spacing w:after="0" w:line="240" w:lineRule="auto"/>
        <w:rPr>
          <w:rFonts w:ascii="Arial" w:eastAsia="Times New Roman" w:hAnsi="Arial" w:cs="Arial"/>
          <w:b/>
          <w:bCs/>
          <w:sz w:val="24"/>
          <w:szCs w:val="24"/>
        </w:rPr>
      </w:pPr>
    </w:p>
    <w:p w14:paraId="4539BD70" w14:textId="13191404" w:rsidR="001E7090" w:rsidRDefault="001E7090" w:rsidP="006F15EF">
      <w:pPr>
        <w:spacing w:after="0" w:line="240" w:lineRule="auto"/>
        <w:ind w:left="567"/>
        <w:rPr>
          <w:rFonts w:ascii="Arial" w:eastAsia="Times New Roman" w:hAnsi="Arial" w:cs="Arial"/>
          <w:b/>
          <w:bCs/>
          <w:sz w:val="24"/>
          <w:szCs w:val="24"/>
          <w:u w:val="single"/>
        </w:rPr>
      </w:pPr>
    </w:p>
    <w:p w14:paraId="5AC37536" w14:textId="52317153" w:rsidR="001E7090" w:rsidRDefault="001E7090" w:rsidP="006F15EF">
      <w:pPr>
        <w:spacing w:after="0" w:line="240" w:lineRule="auto"/>
        <w:ind w:left="567"/>
        <w:rPr>
          <w:rFonts w:ascii="Arial" w:eastAsia="Times New Roman" w:hAnsi="Arial" w:cs="Arial"/>
          <w:b/>
          <w:bCs/>
          <w:sz w:val="24"/>
          <w:szCs w:val="24"/>
          <w:u w:val="single"/>
        </w:rPr>
      </w:pPr>
    </w:p>
    <w:p w14:paraId="2AAB06F6" w14:textId="6F45AC54" w:rsidR="001E7090" w:rsidRDefault="001E7090" w:rsidP="001E7090">
      <w:pPr>
        <w:spacing w:after="0" w:line="240" w:lineRule="auto"/>
        <w:rPr>
          <w:rFonts w:ascii="Arial" w:eastAsia="Times New Roman" w:hAnsi="Arial" w:cs="Arial"/>
          <w:sz w:val="24"/>
          <w:szCs w:val="24"/>
        </w:rPr>
      </w:pPr>
    </w:p>
    <w:p w14:paraId="2E696B12" w14:textId="7660CD4E" w:rsidR="001E7090" w:rsidRDefault="001E7090" w:rsidP="001E7090">
      <w:pPr>
        <w:spacing w:after="0" w:line="240" w:lineRule="auto"/>
        <w:rPr>
          <w:rFonts w:ascii="Arial" w:eastAsia="Times New Roman" w:hAnsi="Arial" w:cs="Arial"/>
          <w:sz w:val="24"/>
          <w:szCs w:val="24"/>
        </w:rPr>
      </w:pPr>
    </w:p>
    <w:p w14:paraId="7AB129FC" w14:textId="5AE80659" w:rsidR="001E7090" w:rsidRDefault="001E7090" w:rsidP="001E7090">
      <w:pPr>
        <w:spacing w:after="0" w:line="240" w:lineRule="auto"/>
        <w:rPr>
          <w:rFonts w:ascii="Arial" w:eastAsia="Times New Roman" w:hAnsi="Arial" w:cs="Arial"/>
          <w:sz w:val="24"/>
          <w:szCs w:val="24"/>
        </w:rPr>
      </w:pPr>
    </w:p>
    <w:p w14:paraId="1248648B" w14:textId="7E45E4A9" w:rsidR="001E7090" w:rsidRDefault="001E7090" w:rsidP="001E7090">
      <w:pPr>
        <w:spacing w:after="0" w:line="240" w:lineRule="auto"/>
        <w:rPr>
          <w:rFonts w:ascii="Arial" w:eastAsia="Times New Roman" w:hAnsi="Arial" w:cs="Arial"/>
          <w:sz w:val="24"/>
          <w:szCs w:val="24"/>
        </w:rPr>
      </w:pPr>
    </w:p>
    <w:p w14:paraId="5A622220" w14:textId="77777777" w:rsidR="001E7090" w:rsidRDefault="001E7090" w:rsidP="001E7090">
      <w:pPr>
        <w:spacing w:after="0" w:line="240" w:lineRule="auto"/>
        <w:rPr>
          <w:rFonts w:ascii="Arial" w:eastAsia="Times New Roman" w:hAnsi="Arial" w:cs="Arial"/>
          <w:sz w:val="24"/>
          <w:szCs w:val="24"/>
        </w:rPr>
      </w:pPr>
    </w:p>
    <w:p w14:paraId="40FED945" w14:textId="77777777" w:rsidR="001E7090" w:rsidRPr="00DC7C84" w:rsidRDefault="001E7090" w:rsidP="00DC7C84">
      <w:pPr>
        <w:spacing w:after="0" w:line="240" w:lineRule="auto"/>
        <w:rPr>
          <w:rFonts w:ascii="Arial" w:eastAsia="Times New Roman" w:hAnsi="Arial" w:cs="Arial"/>
          <w:sz w:val="24"/>
          <w:szCs w:val="24"/>
        </w:rPr>
      </w:pPr>
    </w:p>
    <w:p w14:paraId="7F1BC592" w14:textId="4915552E" w:rsidR="006F15EF" w:rsidRPr="00DC7C84" w:rsidRDefault="006F15EF" w:rsidP="00DC7C84">
      <w:pPr>
        <w:rPr>
          <w:sz w:val="32"/>
          <w:szCs w:val="32"/>
        </w:rPr>
      </w:pPr>
      <w:bookmarkStart w:id="1" w:name="_Toc365452279"/>
      <w:bookmarkStart w:id="2" w:name="_Toc438470522"/>
      <w:r w:rsidRPr="00DC7C84">
        <w:rPr>
          <w:sz w:val="32"/>
          <w:szCs w:val="32"/>
        </w:rPr>
        <w:t>Bakgrunn</w:t>
      </w:r>
      <w:bookmarkEnd w:id="1"/>
      <w:bookmarkEnd w:id="2"/>
    </w:p>
    <w:p w14:paraId="5271991B" w14:textId="77777777" w:rsidR="00562B9C" w:rsidRPr="006F15EF" w:rsidRDefault="00562B9C" w:rsidP="006F15EF">
      <w:pPr>
        <w:keepNext/>
        <w:widowControl w:val="0"/>
        <w:numPr>
          <w:ilvl w:val="1"/>
          <w:numId w:val="1"/>
        </w:numPr>
        <w:tabs>
          <w:tab w:val="left" w:pos="1620"/>
        </w:tabs>
        <w:spacing w:before="220" w:after="200" w:line="240" w:lineRule="auto"/>
        <w:ind w:left="1080"/>
        <w:outlineLvl w:val="1"/>
        <w:rPr>
          <w:rFonts w:ascii="Arial" w:eastAsia="Times New Roman" w:hAnsi="Arial" w:cs="Arial"/>
          <w:b/>
          <w:bCs/>
          <w:color w:val="000000"/>
          <w:sz w:val="24"/>
          <w:szCs w:val="24"/>
        </w:rPr>
      </w:pPr>
    </w:p>
    <w:p w14:paraId="67777503" w14:textId="6D226CA1" w:rsidR="006F15EF" w:rsidRPr="006F15EF" w:rsidRDefault="006F15EF" w:rsidP="00813CF4">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 xml:space="preserve">Retningslinjene følger i stor grad anbefalinger fra European LeukemiaNet (ELN) </w:t>
      </w:r>
      <w:r w:rsidR="00F31BB1" w:rsidRPr="006F15EF">
        <w:rPr>
          <w:rFonts w:ascii="Arial" w:eastAsia="Times New Roman" w:hAnsi="Arial" w:cs="Arial"/>
          <w:sz w:val="24"/>
          <w:szCs w:val="24"/>
        </w:rPr>
        <w:t>20</w:t>
      </w:r>
      <w:r w:rsidR="00F31BB1">
        <w:rPr>
          <w:rFonts w:ascii="Arial" w:eastAsia="Times New Roman" w:hAnsi="Arial" w:cs="Arial"/>
          <w:sz w:val="24"/>
          <w:szCs w:val="24"/>
        </w:rPr>
        <w:t>20</w:t>
      </w:r>
      <w:r w:rsidR="00DC7C84">
        <w:rPr>
          <w:rFonts w:ascii="Arial" w:eastAsia="Times New Roman" w:hAnsi="Arial" w:cs="Arial"/>
          <w:sz w:val="24"/>
          <w:szCs w:val="24"/>
        </w:rPr>
        <w:t xml:space="preserve"> som bygger på tidligere ELN-anbefalinger</w:t>
      </w:r>
      <w:r w:rsidR="001E7090">
        <w:rPr>
          <w:rFonts w:ascii="Arial" w:eastAsia="Times New Roman" w:hAnsi="Arial" w:cs="Arial"/>
          <w:sz w:val="24"/>
          <w:szCs w:val="24"/>
        </w:rPr>
        <w:t>.</w:t>
      </w:r>
      <w:r w:rsidR="00F31BB1">
        <w:rPr>
          <w:rFonts w:ascii="Arial" w:eastAsia="Times New Roman" w:hAnsi="Arial" w:cs="Arial"/>
          <w:sz w:val="24"/>
          <w:szCs w:val="24"/>
        </w:rPr>
        <w:t xml:space="preserve"> </w:t>
      </w:r>
      <w:commentRangeStart w:id="3"/>
      <w:commentRangeStart w:id="4"/>
      <w:commentRangeEnd w:id="3"/>
      <w:r w:rsidR="00F31BB1">
        <w:rPr>
          <w:rStyle w:val="CommentReference"/>
        </w:rPr>
        <w:commentReference w:id="3"/>
      </w:r>
      <w:commentRangeEnd w:id="4"/>
      <w:r w:rsidR="00F31BB1">
        <w:rPr>
          <w:rStyle w:val="CommentReference"/>
        </w:rPr>
        <w:commentReference w:id="4"/>
      </w:r>
      <w:r w:rsidRPr="006F15EF">
        <w:rPr>
          <w:rFonts w:ascii="Arial" w:eastAsia="Times New Roman" w:hAnsi="Arial" w:cs="Arial"/>
          <w:sz w:val="24"/>
          <w:szCs w:val="24"/>
        </w:rPr>
        <w:t xml:space="preserve">Det diagnostiseres omtrent </w:t>
      </w:r>
      <w:r w:rsidR="00813CF4">
        <w:rPr>
          <w:rFonts w:ascii="Arial" w:eastAsia="Times New Roman" w:hAnsi="Arial" w:cs="Arial"/>
          <w:sz w:val="24"/>
          <w:szCs w:val="24"/>
        </w:rPr>
        <w:t>50</w:t>
      </w:r>
      <w:r w:rsidR="00813CF4" w:rsidRPr="006F15EF">
        <w:rPr>
          <w:rFonts w:ascii="Arial" w:eastAsia="Times New Roman" w:hAnsi="Arial" w:cs="Arial"/>
          <w:sz w:val="24"/>
          <w:szCs w:val="24"/>
        </w:rPr>
        <w:t xml:space="preserve"> </w:t>
      </w:r>
      <w:r w:rsidRPr="006F15EF">
        <w:rPr>
          <w:rFonts w:ascii="Arial" w:eastAsia="Times New Roman" w:hAnsi="Arial" w:cs="Arial"/>
          <w:sz w:val="24"/>
          <w:szCs w:val="24"/>
        </w:rPr>
        <w:t>nye tilfeller av KML i Norge per år. Insidensen er knapt 1:100 000 og er høyest omkring 60 års alder. Flere enn 90 % av pasientene har et abnormt lite kromosom 22, det såkalte Philadelphia-kromosomet (Ph), som oppstår ved en balansert translokasjon mellom kromosom 9 og 22. Resultatet av translokasjonen</w:t>
      </w:r>
      <w:r w:rsidR="00813CF4">
        <w:rPr>
          <w:rFonts w:ascii="Arial" w:eastAsia="Times New Roman" w:hAnsi="Arial" w:cs="Arial"/>
          <w:sz w:val="24"/>
          <w:szCs w:val="24"/>
        </w:rPr>
        <w:t xml:space="preserve"> </w:t>
      </w:r>
      <w:r w:rsidRPr="006F15EF">
        <w:rPr>
          <w:rFonts w:ascii="Arial" w:eastAsia="Times New Roman" w:hAnsi="Arial" w:cs="Arial"/>
          <w:sz w:val="24"/>
          <w:szCs w:val="24"/>
        </w:rPr>
        <w:t>er et hybridgen, BCR-ABL, som koder for fusjonsprotein</w:t>
      </w:r>
      <w:r w:rsidR="00813CF4">
        <w:rPr>
          <w:rFonts w:ascii="Arial" w:eastAsia="Times New Roman" w:hAnsi="Arial" w:cs="Arial"/>
          <w:sz w:val="24"/>
          <w:szCs w:val="24"/>
        </w:rPr>
        <w:t>et</w:t>
      </w:r>
      <w:r w:rsidRPr="006F15EF">
        <w:rPr>
          <w:rFonts w:ascii="Arial" w:eastAsia="Times New Roman" w:hAnsi="Arial" w:cs="Arial"/>
          <w:sz w:val="24"/>
          <w:szCs w:val="24"/>
        </w:rPr>
        <w:t xml:space="preserve"> bcr-abl, med høy tyrosinkinaseaktivitet. Dannelsen av onkogenet BCR-ABL er nødvendig og tilstrekkelig for å utvikle KML. </w:t>
      </w:r>
    </w:p>
    <w:p w14:paraId="24645383" w14:textId="77777777" w:rsidR="006F15EF" w:rsidRPr="006F15EF" w:rsidRDefault="006F15EF" w:rsidP="00813CF4">
      <w:pPr>
        <w:keepNext/>
        <w:widowControl w:val="0"/>
        <w:numPr>
          <w:ilvl w:val="1"/>
          <w:numId w:val="1"/>
        </w:numPr>
        <w:tabs>
          <w:tab w:val="left" w:pos="1620"/>
        </w:tabs>
        <w:spacing w:before="220" w:after="200" w:line="240" w:lineRule="auto"/>
        <w:ind w:left="1080"/>
        <w:outlineLvl w:val="1"/>
        <w:rPr>
          <w:rFonts w:ascii="Arial" w:eastAsia="Times New Roman" w:hAnsi="Arial" w:cs="Arial"/>
          <w:b/>
          <w:bCs/>
          <w:color w:val="000000"/>
          <w:sz w:val="24"/>
          <w:szCs w:val="24"/>
        </w:rPr>
      </w:pPr>
      <w:bookmarkStart w:id="5" w:name="_Toc365452280"/>
      <w:bookmarkStart w:id="6" w:name="_Toc438470523"/>
      <w:r w:rsidRPr="006F15EF">
        <w:rPr>
          <w:rFonts w:ascii="Arial" w:eastAsia="Times New Roman" w:hAnsi="Arial" w:cs="Arial"/>
          <w:b/>
          <w:bCs/>
          <w:color w:val="000000"/>
          <w:sz w:val="24"/>
          <w:szCs w:val="24"/>
        </w:rPr>
        <w:t>Diagnose</w:t>
      </w:r>
      <w:bookmarkEnd w:id="5"/>
      <w:bookmarkEnd w:id="6"/>
    </w:p>
    <w:p w14:paraId="37E47E77" w14:textId="77777777" w:rsidR="006F15EF" w:rsidRPr="006F15EF" w:rsidRDefault="006F15EF" w:rsidP="001E7090">
      <w:pPr>
        <w:keepNext/>
        <w:widowControl w:val="0"/>
        <w:numPr>
          <w:ilvl w:val="2"/>
          <w:numId w:val="1"/>
        </w:numPr>
        <w:tabs>
          <w:tab w:val="left" w:pos="1418"/>
        </w:tabs>
        <w:spacing w:before="200" w:after="200" w:line="240" w:lineRule="auto"/>
        <w:ind w:left="1080"/>
        <w:outlineLvl w:val="2"/>
        <w:rPr>
          <w:rFonts w:ascii="Arial" w:eastAsia="Times New Roman" w:hAnsi="Arial" w:cs="Arial"/>
          <w:b/>
          <w:bCs/>
          <w:i/>
          <w:iCs/>
          <w:sz w:val="24"/>
          <w:szCs w:val="24"/>
        </w:rPr>
      </w:pPr>
      <w:bookmarkStart w:id="7" w:name="_Toc365452281"/>
      <w:bookmarkStart w:id="8" w:name="_Toc438470524"/>
      <w:r w:rsidRPr="006F15EF">
        <w:rPr>
          <w:rFonts w:ascii="Arial" w:eastAsia="Times New Roman" w:hAnsi="Arial" w:cs="Arial"/>
          <w:b/>
          <w:bCs/>
          <w:i/>
          <w:iCs/>
          <w:sz w:val="24"/>
          <w:szCs w:val="24"/>
        </w:rPr>
        <w:t>Symptomer og kliniske funn</w:t>
      </w:r>
      <w:bookmarkEnd w:id="7"/>
      <w:bookmarkEnd w:id="8"/>
    </w:p>
    <w:p w14:paraId="53D465B5" w14:textId="57747DB0" w:rsidR="006F15EF" w:rsidRPr="006F15EF" w:rsidRDefault="006F15EF" w:rsidP="001E7090">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 xml:space="preserve">KML er en aktuell diagnose ved leukocytose, trombocytose, splenomegali eller allmennsymptomer. </w:t>
      </w:r>
      <w:r w:rsidR="003E4C3F">
        <w:rPr>
          <w:rFonts w:ascii="Arial" w:eastAsia="Times New Roman" w:hAnsi="Arial" w:cs="Arial"/>
          <w:sz w:val="24"/>
          <w:szCs w:val="24"/>
        </w:rPr>
        <w:t xml:space="preserve">Omtrent halvparten diagnostiseres tilfeldig </w:t>
      </w:r>
      <w:r w:rsidRPr="006F15EF">
        <w:rPr>
          <w:rFonts w:ascii="Arial" w:eastAsia="Times New Roman" w:hAnsi="Arial" w:cs="Arial"/>
          <w:sz w:val="24"/>
          <w:szCs w:val="24"/>
        </w:rPr>
        <w:t xml:space="preserve"> i forbindelse med blodprøvetaking av andre grunner. Symptomer kan mangle eller være uttalte, med slapphet, feber, nattesvette, blødningstendens, vekttap og eventuelt skjelettsmerter og tyngdefornemmelse under venstre kostalbue. Mange pasienter har palpabel milt og lever. Lymfeknutesvulst er </w:t>
      </w:r>
      <w:commentRangeStart w:id="9"/>
      <w:r w:rsidRPr="006F15EF">
        <w:rPr>
          <w:rFonts w:ascii="Arial" w:eastAsia="Times New Roman" w:hAnsi="Arial" w:cs="Arial"/>
          <w:sz w:val="24"/>
          <w:szCs w:val="24"/>
        </w:rPr>
        <w:t>sjelden</w:t>
      </w:r>
      <w:commentRangeEnd w:id="9"/>
      <w:r w:rsidR="006A4980">
        <w:rPr>
          <w:rStyle w:val="CommentReference"/>
        </w:rPr>
        <w:commentReference w:id="9"/>
      </w:r>
      <w:r w:rsidRPr="006F15EF">
        <w:rPr>
          <w:rFonts w:ascii="Arial" w:eastAsia="Times New Roman" w:hAnsi="Arial" w:cs="Arial"/>
          <w:sz w:val="24"/>
          <w:szCs w:val="24"/>
        </w:rPr>
        <w:t xml:space="preserve">.  </w:t>
      </w:r>
    </w:p>
    <w:p w14:paraId="164EBFBA" w14:textId="42EDF906" w:rsidR="006F15EF" w:rsidRPr="006F15EF" w:rsidRDefault="006F15EF" w:rsidP="00DC7C84">
      <w:pPr>
        <w:widowControl w:val="0"/>
        <w:spacing w:after="0" w:line="240" w:lineRule="auto"/>
        <w:ind w:left="567" w:firstLine="141"/>
        <w:rPr>
          <w:rFonts w:ascii="Arial" w:eastAsia="Times New Roman" w:hAnsi="Arial" w:cs="Arial"/>
          <w:sz w:val="24"/>
          <w:szCs w:val="24"/>
        </w:rPr>
      </w:pPr>
      <w:r w:rsidRPr="006F15EF">
        <w:rPr>
          <w:rFonts w:ascii="Arial" w:eastAsia="Times New Roman" w:hAnsi="Arial" w:cs="Arial"/>
          <w:sz w:val="24"/>
          <w:szCs w:val="24"/>
        </w:rPr>
        <w:t>Ubehandlet KML gjennomgår vanligvis tre faser, kronisk fase (gjennomsnitt 3-4 år), akselerert fase (1/2-1 år) og blastfase (kort levetid).  Progresjon er forbundet med økende behandlingsresistens og symptomer. Laboratoriemessig øker antall blaster og basofile granulocytter i perifert blod og ofte oppstår behandlingsrelaterte cytopenier. Blastfase er morfologisk og klinisk en akutt leukemi der immunfenotypen kan være lymfoblastisk eller myeloblastisk (lymfoid eller myeloid blastkrise). Median overlevelse er da kort</w:t>
      </w:r>
      <w:r w:rsidR="00A309E0">
        <w:rPr>
          <w:rFonts w:ascii="Arial" w:eastAsia="Times New Roman" w:hAnsi="Arial" w:cs="Arial"/>
          <w:sz w:val="24"/>
          <w:szCs w:val="24"/>
        </w:rPr>
        <w:t>.</w:t>
      </w:r>
      <w:r w:rsidRPr="006F15EF">
        <w:rPr>
          <w:rFonts w:ascii="Arial" w:eastAsia="Times New Roman" w:hAnsi="Arial" w:cs="Arial"/>
          <w:sz w:val="24"/>
          <w:szCs w:val="24"/>
        </w:rPr>
        <w:t xml:space="preserve"> Enkelte pasienter debuterer i avansert fase. </w:t>
      </w:r>
    </w:p>
    <w:p w14:paraId="661DF66B" w14:textId="77777777" w:rsidR="006F15EF" w:rsidRPr="006F15EF" w:rsidRDefault="006F15EF" w:rsidP="006F15EF">
      <w:pPr>
        <w:keepNext/>
        <w:widowControl w:val="0"/>
        <w:numPr>
          <w:ilvl w:val="2"/>
          <w:numId w:val="1"/>
        </w:numPr>
        <w:tabs>
          <w:tab w:val="left" w:pos="1418"/>
        </w:tabs>
        <w:spacing w:before="200" w:after="200" w:line="240" w:lineRule="auto"/>
        <w:ind w:left="1080"/>
        <w:outlineLvl w:val="2"/>
        <w:rPr>
          <w:rFonts w:ascii="Arial" w:eastAsia="Times New Roman" w:hAnsi="Arial" w:cs="Arial"/>
          <w:b/>
          <w:bCs/>
          <w:i/>
          <w:iCs/>
          <w:sz w:val="24"/>
          <w:szCs w:val="24"/>
        </w:rPr>
      </w:pPr>
      <w:bookmarkStart w:id="10" w:name="_Toc365452282"/>
      <w:bookmarkStart w:id="11" w:name="_Toc438470525"/>
      <w:r w:rsidRPr="006F15EF">
        <w:rPr>
          <w:rFonts w:ascii="Arial" w:eastAsia="Times New Roman" w:hAnsi="Arial" w:cs="Arial"/>
          <w:b/>
          <w:bCs/>
          <w:i/>
          <w:iCs/>
          <w:sz w:val="24"/>
          <w:szCs w:val="24"/>
        </w:rPr>
        <w:t>Diagnostiske prosedyrer</w:t>
      </w:r>
      <w:bookmarkEnd w:id="10"/>
      <w:bookmarkEnd w:id="11"/>
    </w:p>
    <w:p w14:paraId="26835B63" w14:textId="35346495"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Miltens størrelse vurderes klinisk</w:t>
      </w:r>
      <w:r>
        <w:rPr>
          <w:rFonts w:ascii="Arial" w:eastAsia="Times New Roman" w:hAnsi="Arial" w:cs="Arial"/>
          <w:sz w:val="24"/>
          <w:szCs w:val="24"/>
        </w:rPr>
        <w:t xml:space="preserve"> i antall cm vinkelrett på ribbensbuen</w:t>
      </w:r>
      <w:r w:rsidR="003E4C3F">
        <w:rPr>
          <w:rFonts w:ascii="Arial" w:eastAsia="Times New Roman" w:hAnsi="Arial" w:cs="Arial"/>
          <w:sz w:val="24"/>
          <w:szCs w:val="24"/>
        </w:rPr>
        <w:t xml:space="preserve"> til miltpolen</w:t>
      </w:r>
      <w:r>
        <w:rPr>
          <w:rFonts w:ascii="Arial" w:eastAsia="Times New Roman" w:hAnsi="Arial" w:cs="Arial"/>
          <w:sz w:val="24"/>
          <w:szCs w:val="24"/>
        </w:rPr>
        <w:t>.</w:t>
      </w:r>
      <w:r w:rsidRPr="006F15EF">
        <w:rPr>
          <w:rFonts w:ascii="Arial" w:eastAsia="Times New Roman" w:hAnsi="Arial" w:cs="Arial"/>
          <w:sz w:val="24"/>
          <w:szCs w:val="24"/>
        </w:rPr>
        <w:t xml:space="preserve"> Nesten alle pasientene har leukocytose, oftest 100-300 x10</w:t>
      </w:r>
      <w:r w:rsidRPr="006F15EF">
        <w:rPr>
          <w:rFonts w:ascii="Arial" w:eastAsia="Times New Roman" w:hAnsi="Arial" w:cs="Arial"/>
          <w:sz w:val="24"/>
          <w:szCs w:val="24"/>
          <w:vertAlign w:val="superscript"/>
        </w:rPr>
        <w:t>9</w:t>
      </w:r>
      <w:r w:rsidRPr="006F15EF">
        <w:rPr>
          <w:rFonts w:ascii="Arial" w:eastAsia="Times New Roman" w:hAnsi="Arial" w:cs="Arial"/>
          <w:sz w:val="24"/>
          <w:szCs w:val="24"/>
        </w:rPr>
        <w:t xml:space="preserve">/L. I tidlig fase kan det bare være lett venstreforskyvning i blodutstryket, men vanligvis sees metamyelocytter, myelocytter og enkelte promyelocytter og myeloblaster. Kjerneholdige erytrocytter er vanlig. </w:t>
      </w:r>
      <w:r w:rsidR="00813CF4">
        <w:rPr>
          <w:rFonts w:ascii="Arial" w:eastAsia="Times New Roman" w:hAnsi="Arial" w:cs="Arial"/>
          <w:sz w:val="24"/>
          <w:szCs w:val="24"/>
        </w:rPr>
        <w:t>B</w:t>
      </w:r>
      <w:r w:rsidRPr="006F15EF">
        <w:rPr>
          <w:rFonts w:ascii="Arial" w:eastAsia="Times New Roman" w:hAnsi="Arial" w:cs="Arial"/>
          <w:sz w:val="24"/>
          <w:szCs w:val="24"/>
        </w:rPr>
        <w:t xml:space="preserve">asofile granulocytter er nesten alltid økt. Eosinofile granulocytter og monocytter er som regel også økt i antall, mens lymfocyttallet er normalt. </w:t>
      </w:r>
      <w:r w:rsidR="00CC4376">
        <w:rPr>
          <w:rFonts w:ascii="Arial" w:eastAsia="Times New Roman" w:hAnsi="Arial" w:cs="Arial"/>
          <w:sz w:val="24"/>
          <w:szCs w:val="24"/>
        </w:rPr>
        <w:t xml:space="preserve"> Lett dysplasi er ikke uvanlig. </w:t>
      </w:r>
      <w:r w:rsidRPr="006F15EF">
        <w:rPr>
          <w:rFonts w:ascii="Arial" w:eastAsia="Times New Roman" w:hAnsi="Arial" w:cs="Arial"/>
          <w:sz w:val="24"/>
          <w:szCs w:val="24"/>
        </w:rPr>
        <w:t>Prosent blaster, eosinofile og basofile granulocytter i perifert blod skal registreres fordi det har prognostisk betydning. Ca. 50 % av pasientene har trombocytose</w:t>
      </w:r>
      <w:r w:rsidR="00CC4376">
        <w:rPr>
          <w:rFonts w:ascii="Arial" w:eastAsia="Times New Roman" w:hAnsi="Arial" w:cs="Arial"/>
          <w:sz w:val="24"/>
          <w:szCs w:val="24"/>
        </w:rPr>
        <w:t xml:space="preserve">, som kan være isolert, og derfor gjør det nødvendig å utelukke KML i utredning av </w:t>
      </w:r>
      <w:r w:rsidR="00F31BB1">
        <w:rPr>
          <w:rFonts w:ascii="Arial" w:eastAsia="Times New Roman" w:hAnsi="Arial" w:cs="Arial"/>
          <w:sz w:val="24"/>
          <w:szCs w:val="24"/>
        </w:rPr>
        <w:t xml:space="preserve">trombocytoser suspekt på </w:t>
      </w:r>
      <w:r w:rsidR="00CC4376">
        <w:rPr>
          <w:rFonts w:ascii="Arial" w:eastAsia="Times New Roman" w:hAnsi="Arial" w:cs="Arial"/>
          <w:sz w:val="24"/>
          <w:szCs w:val="24"/>
        </w:rPr>
        <w:t>MPN</w:t>
      </w:r>
      <w:r w:rsidR="00DB6743">
        <w:rPr>
          <w:rFonts w:ascii="Arial" w:eastAsia="Times New Roman" w:hAnsi="Arial" w:cs="Arial"/>
          <w:sz w:val="24"/>
          <w:szCs w:val="24"/>
        </w:rPr>
        <w:t>.</w:t>
      </w:r>
      <w:r w:rsidRPr="006F15EF">
        <w:rPr>
          <w:rFonts w:ascii="Arial" w:eastAsia="Times New Roman" w:hAnsi="Arial" w:cs="Arial"/>
          <w:sz w:val="24"/>
          <w:szCs w:val="24"/>
        </w:rPr>
        <w:t xml:space="preserve"> Anemi er vanlig og kan være uttalt. Forandringene i blodutstryket er vanligvis diagnostiske. Beinmargen er hypercellulær og dominert av venstreforskjøvet myelopoese</w:t>
      </w:r>
      <w:r w:rsidR="00CC4376">
        <w:rPr>
          <w:rFonts w:ascii="Arial" w:eastAsia="Times New Roman" w:hAnsi="Arial" w:cs="Arial"/>
          <w:sz w:val="24"/>
          <w:szCs w:val="24"/>
        </w:rPr>
        <w:t xml:space="preserve">, men blasttall over </w:t>
      </w:r>
      <w:r w:rsidRPr="006F15EF">
        <w:rPr>
          <w:rFonts w:ascii="Arial" w:eastAsia="Times New Roman" w:hAnsi="Arial" w:cs="Arial"/>
          <w:sz w:val="24"/>
          <w:szCs w:val="24"/>
        </w:rPr>
        <w:t>5 %</w:t>
      </w:r>
      <w:r w:rsidR="00CC4376">
        <w:rPr>
          <w:rFonts w:ascii="Arial" w:eastAsia="Times New Roman" w:hAnsi="Arial" w:cs="Arial"/>
          <w:sz w:val="24"/>
          <w:szCs w:val="24"/>
        </w:rPr>
        <w:t xml:space="preserve"> er sjeldent i</w:t>
      </w:r>
      <w:r w:rsidRPr="006F15EF">
        <w:rPr>
          <w:rFonts w:ascii="Arial" w:eastAsia="Times New Roman" w:hAnsi="Arial" w:cs="Arial"/>
          <w:sz w:val="24"/>
          <w:szCs w:val="24"/>
        </w:rPr>
        <w:t xml:space="preserve"> kronisk fase. I biopsimateriale sees det ofte megakaryocytthyperplasi og av og til fibrose.</w:t>
      </w:r>
      <w:r w:rsidR="00F31BB1">
        <w:rPr>
          <w:rFonts w:ascii="Arial" w:eastAsia="Times New Roman" w:hAnsi="Arial" w:cs="Arial"/>
          <w:sz w:val="24"/>
          <w:szCs w:val="24"/>
        </w:rPr>
        <w:t xml:space="preserve"> Dry tap </w:t>
      </w:r>
      <w:r w:rsidR="00813CF4">
        <w:rPr>
          <w:rFonts w:ascii="Arial" w:eastAsia="Times New Roman" w:hAnsi="Arial" w:cs="Arial"/>
          <w:sz w:val="24"/>
          <w:szCs w:val="24"/>
        </w:rPr>
        <w:t xml:space="preserve">er </w:t>
      </w:r>
      <w:r w:rsidR="00F31BB1">
        <w:rPr>
          <w:rFonts w:ascii="Arial" w:eastAsia="Times New Roman" w:hAnsi="Arial" w:cs="Arial"/>
          <w:sz w:val="24"/>
          <w:szCs w:val="24"/>
        </w:rPr>
        <w:t>ikke uvanlig.</w:t>
      </w:r>
    </w:p>
    <w:p w14:paraId="1855A9C0"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295DFADA" w14:textId="77777777"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Beinmarg sendes til cytogenetisk analyse</w:t>
      </w:r>
      <w:r w:rsidRPr="006F15EF">
        <w:rPr>
          <w:rFonts w:ascii="Arial" w:eastAsia="Times New Roman" w:hAnsi="Arial" w:cs="Arial"/>
          <w:sz w:val="24"/>
          <w:szCs w:val="24"/>
        </w:rPr>
        <w:t xml:space="preserve"> («G-banding», karyotypering) og </w:t>
      </w:r>
      <w:r w:rsidRPr="006F15EF">
        <w:rPr>
          <w:rFonts w:ascii="Arial" w:eastAsia="Times New Roman" w:hAnsi="Arial" w:cs="Arial"/>
          <w:sz w:val="24"/>
          <w:szCs w:val="24"/>
        </w:rPr>
        <w:lastRenderedPageBreak/>
        <w:t>perifert blod til molekylærgenetisk undersøkelse på hybridgenet BCR-ABL med polymerasekjedereaksjon (PCR).</w:t>
      </w:r>
    </w:p>
    <w:p w14:paraId="156D3758"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19F0DCA6" w14:textId="2B06A613"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Kvalitativ BCR-ABL-PCR</w:t>
      </w:r>
      <w:r w:rsidRPr="006F15EF">
        <w:rPr>
          <w:rFonts w:ascii="Arial" w:eastAsia="Times New Roman" w:hAnsi="Arial" w:cs="Arial"/>
          <w:sz w:val="24"/>
          <w:szCs w:val="24"/>
        </w:rPr>
        <w:t xml:space="preserve"> påviser p210/major BCR-ABL1 fusjoner (varianter av e13a2 og e14a2) som forekommer i 95% av KML tilfellene. I sjeldne tilfeller kan det foreligge ”kryptiske” BCR-ABL gener (dvs usynlige ved cytogenetisk undersøkelse) som ikke fanges opp av rutine PCR testen. Passer det kliniske bildet godt med KML, men cytogenetisk us og PCR er negative, bør man i tillegg rekvirere BCR-ABL fluorescerende in situ-hybridiserings</w:t>
      </w:r>
      <w:r w:rsidR="00F31BB1">
        <w:rPr>
          <w:rFonts w:ascii="Arial" w:eastAsia="Times New Roman" w:hAnsi="Arial" w:cs="Arial"/>
          <w:sz w:val="24"/>
          <w:szCs w:val="24"/>
        </w:rPr>
        <w:t xml:space="preserve"> </w:t>
      </w:r>
      <w:r w:rsidR="00F31BB1" w:rsidRPr="006F15EF">
        <w:rPr>
          <w:rFonts w:ascii="Arial" w:eastAsia="Times New Roman" w:hAnsi="Arial" w:cs="Arial"/>
          <w:sz w:val="24"/>
          <w:szCs w:val="24"/>
        </w:rPr>
        <w:t>(FISH)</w:t>
      </w:r>
      <w:r w:rsidRPr="006F15EF">
        <w:rPr>
          <w:rFonts w:ascii="Arial" w:eastAsia="Times New Roman" w:hAnsi="Arial" w:cs="Arial"/>
          <w:sz w:val="24"/>
          <w:szCs w:val="24"/>
        </w:rPr>
        <w:t xml:space="preserve"> analyse for å finne uvanlige </w:t>
      </w:r>
      <w:r w:rsidR="00CC4376">
        <w:rPr>
          <w:rFonts w:ascii="Arial" w:eastAsia="Times New Roman" w:hAnsi="Arial" w:cs="Arial"/>
          <w:sz w:val="24"/>
          <w:szCs w:val="24"/>
        </w:rPr>
        <w:t>fusjon</w:t>
      </w:r>
      <w:r w:rsidR="00CC4376" w:rsidRPr="006F15EF">
        <w:rPr>
          <w:rFonts w:ascii="Arial" w:eastAsia="Times New Roman" w:hAnsi="Arial" w:cs="Arial"/>
          <w:sz w:val="24"/>
          <w:szCs w:val="24"/>
        </w:rPr>
        <w:t>er</w:t>
      </w:r>
      <w:r w:rsidRPr="006F15EF">
        <w:rPr>
          <w:rFonts w:ascii="Arial" w:eastAsia="Times New Roman" w:hAnsi="Arial" w:cs="Arial"/>
          <w:sz w:val="24"/>
          <w:szCs w:val="24"/>
        </w:rPr>
        <w:t>. Dersom positiv FISH test, kan man eventuelt identifisere BCR-ABL translokasjonsgenets variant (e1a2, e6a2, e8a2, e13a3 eller e14a3) ved mer målrettet PCR undersøkelse. e1a2 er vanligst ved Ph+ ALL og er sjeldent ved KML.</w:t>
      </w:r>
    </w:p>
    <w:p w14:paraId="484D9031"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62A17101" w14:textId="404DB3BF"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Kvantitativ BCR-ABL PCR</w:t>
      </w:r>
      <w:r w:rsidRPr="006F15EF">
        <w:rPr>
          <w:rFonts w:ascii="Arial" w:eastAsia="Times New Roman" w:hAnsi="Arial" w:cs="Arial"/>
          <w:sz w:val="24"/>
          <w:szCs w:val="24"/>
        </w:rPr>
        <w:t xml:space="preserve"> (RT-qPCR) benyttes til ”m</w:t>
      </w:r>
      <w:r w:rsidR="001A24B8">
        <w:rPr>
          <w:rFonts w:ascii="Arial" w:eastAsia="Times New Roman" w:hAnsi="Arial" w:cs="Arial"/>
          <w:sz w:val="24"/>
          <w:szCs w:val="24"/>
        </w:rPr>
        <w:t>easurable</w:t>
      </w:r>
      <w:r w:rsidRPr="006F15EF">
        <w:rPr>
          <w:rFonts w:ascii="Arial" w:eastAsia="Times New Roman" w:hAnsi="Arial" w:cs="Arial"/>
          <w:sz w:val="24"/>
          <w:szCs w:val="24"/>
        </w:rPr>
        <w:t xml:space="preserve"> residual disease” (MRD) oppfølging av pasienter ved behandling med tyrosinkinasehemmere (TKI) og etter allo-SCT </w:t>
      </w:r>
      <w:commentRangeStart w:id="12"/>
      <w:r w:rsidRPr="006F15EF">
        <w:rPr>
          <w:rFonts w:ascii="Arial" w:eastAsia="Times New Roman" w:hAnsi="Arial" w:cs="Arial"/>
          <w:noProof/>
          <w:sz w:val="24"/>
          <w:szCs w:val="24"/>
        </w:rPr>
        <w:t>(4;5)</w:t>
      </w:r>
      <w:r w:rsidRPr="006F15EF">
        <w:rPr>
          <w:rFonts w:ascii="Arial" w:eastAsia="Times New Roman" w:hAnsi="Arial" w:cs="Arial"/>
          <w:sz w:val="24"/>
          <w:szCs w:val="24"/>
        </w:rPr>
        <w:t xml:space="preserve">. </w:t>
      </w:r>
      <w:commentRangeEnd w:id="12"/>
      <w:r w:rsidR="00503048">
        <w:rPr>
          <w:rStyle w:val="CommentReference"/>
        </w:rPr>
        <w:commentReference w:id="12"/>
      </w:r>
      <w:r w:rsidRPr="006F15EF">
        <w:rPr>
          <w:rFonts w:ascii="Arial" w:eastAsia="Times New Roman" w:hAnsi="Arial" w:cs="Arial"/>
          <w:sz w:val="24"/>
          <w:szCs w:val="24"/>
        </w:rPr>
        <w:t>Mutasjoner i BCR-ABL kan forårsake behandlingsresistens og kan detekteres med sekvensering.</w:t>
      </w:r>
    </w:p>
    <w:p w14:paraId="66791EF5"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4FA596E9" w14:textId="77777777" w:rsidR="006F15EF" w:rsidRPr="006F15EF" w:rsidRDefault="006F15EF" w:rsidP="006F15EF">
      <w:pPr>
        <w:widowControl w:val="0"/>
        <w:spacing w:after="0" w:line="240" w:lineRule="auto"/>
        <w:ind w:left="567"/>
        <w:rPr>
          <w:rFonts w:ascii="Arial" w:eastAsia="Times New Roman" w:hAnsi="Arial" w:cs="Arial"/>
          <w:b/>
          <w:bCs/>
          <w:sz w:val="24"/>
          <w:szCs w:val="24"/>
        </w:rPr>
      </w:pPr>
      <w:r w:rsidRPr="006F15EF">
        <w:rPr>
          <w:rFonts w:ascii="Arial" w:eastAsia="Times New Roman" w:hAnsi="Arial" w:cs="Arial"/>
          <w:b/>
          <w:bCs/>
          <w:sz w:val="24"/>
          <w:szCs w:val="24"/>
        </w:rPr>
        <w:t>Supplerende utredning i spesielle tilfeller:</w:t>
      </w:r>
    </w:p>
    <w:p w14:paraId="1E9B56CB" w14:textId="059EA144"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i/>
          <w:iCs/>
          <w:sz w:val="24"/>
          <w:szCs w:val="24"/>
        </w:rPr>
        <w:t>Beinmargsbiopsi:</w:t>
      </w:r>
      <w:r w:rsidRPr="006F15EF">
        <w:rPr>
          <w:rFonts w:ascii="Arial" w:eastAsia="Times New Roman" w:hAnsi="Arial" w:cs="Arial"/>
          <w:sz w:val="24"/>
          <w:szCs w:val="24"/>
        </w:rPr>
        <w:t xml:space="preserve"> Kun </w:t>
      </w:r>
      <w:r w:rsidR="00CC4376">
        <w:rPr>
          <w:rFonts w:ascii="Arial" w:eastAsia="Times New Roman" w:hAnsi="Arial" w:cs="Arial"/>
          <w:sz w:val="24"/>
          <w:szCs w:val="24"/>
        </w:rPr>
        <w:t>ved</w:t>
      </w:r>
      <w:r w:rsidRPr="006F15EF">
        <w:rPr>
          <w:rFonts w:ascii="Arial" w:eastAsia="Times New Roman" w:hAnsi="Arial" w:cs="Arial"/>
          <w:sz w:val="24"/>
          <w:szCs w:val="24"/>
        </w:rPr>
        <w:t xml:space="preserve"> </w:t>
      </w:r>
      <w:r w:rsidR="00277299">
        <w:rPr>
          <w:rFonts w:ascii="Arial" w:eastAsia="Times New Roman" w:hAnsi="Arial" w:cs="Arial"/>
          <w:sz w:val="24"/>
          <w:szCs w:val="24"/>
        </w:rPr>
        <w:t>dry tap</w:t>
      </w:r>
    </w:p>
    <w:p w14:paraId="485D5DAC" w14:textId="7F9FDC9E"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i/>
          <w:iCs/>
          <w:sz w:val="24"/>
          <w:szCs w:val="24"/>
        </w:rPr>
        <w:t xml:space="preserve">Immunfenotyping </w:t>
      </w:r>
      <w:r w:rsidRPr="006F15EF">
        <w:rPr>
          <w:rFonts w:ascii="Arial" w:eastAsia="Times New Roman" w:hAnsi="Arial" w:cs="Arial"/>
          <w:sz w:val="24"/>
          <w:szCs w:val="24"/>
        </w:rPr>
        <w:t xml:space="preserve">(beinmarg/blod): </w:t>
      </w:r>
      <w:r w:rsidR="00277299">
        <w:rPr>
          <w:rFonts w:ascii="Arial" w:eastAsia="Times New Roman" w:hAnsi="Arial" w:cs="Arial"/>
          <w:sz w:val="24"/>
          <w:szCs w:val="24"/>
        </w:rPr>
        <w:t xml:space="preserve">Kun ved </w:t>
      </w:r>
      <w:r w:rsidRPr="006F15EF">
        <w:rPr>
          <w:rFonts w:ascii="Arial" w:eastAsia="Times New Roman" w:hAnsi="Arial" w:cs="Arial"/>
          <w:sz w:val="24"/>
          <w:szCs w:val="24"/>
        </w:rPr>
        <w:t>blastfase (lymfoid vs myeloid).</w:t>
      </w:r>
    </w:p>
    <w:p w14:paraId="55234EF9"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469976EE" w14:textId="77777777" w:rsidR="006F15EF" w:rsidRPr="006F15EF" w:rsidRDefault="006F15EF" w:rsidP="006F15EF">
      <w:pPr>
        <w:widowControl w:val="0"/>
        <w:spacing w:after="0" w:line="240" w:lineRule="auto"/>
        <w:ind w:left="567"/>
        <w:rPr>
          <w:rFonts w:ascii="Arial" w:eastAsia="Times New Roman" w:hAnsi="Arial" w:cs="Arial"/>
          <w:b/>
          <w:bCs/>
          <w:sz w:val="24"/>
          <w:szCs w:val="24"/>
        </w:rPr>
      </w:pPr>
      <w:r w:rsidRPr="006F15EF">
        <w:rPr>
          <w:rFonts w:ascii="Arial" w:eastAsia="Times New Roman" w:hAnsi="Arial" w:cs="Arial"/>
          <w:b/>
          <w:bCs/>
          <w:sz w:val="24"/>
          <w:szCs w:val="24"/>
        </w:rPr>
        <w:t>Minimumsutredning:</w:t>
      </w:r>
      <w:r w:rsidRPr="006F15EF">
        <w:rPr>
          <w:rFonts w:ascii="Arial" w:eastAsia="Times New Roman" w:hAnsi="Arial" w:cs="Arial"/>
          <w:b/>
          <w:bCs/>
          <w:sz w:val="24"/>
          <w:szCs w:val="24"/>
        </w:rPr>
        <w:tab/>
        <w:t xml:space="preserve"> </w:t>
      </w:r>
    </w:p>
    <w:p w14:paraId="08746573" w14:textId="77777777" w:rsidR="006F15EF" w:rsidRPr="006F15EF" w:rsidRDefault="006F15EF" w:rsidP="006F15EF">
      <w:pPr>
        <w:widowControl w:val="0"/>
        <w:numPr>
          <w:ilvl w:val="0"/>
          <w:numId w:val="3"/>
        </w:numPr>
        <w:spacing w:after="0" w:line="240" w:lineRule="auto"/>
        <w:rPr>
          <w:rFonts w:ascii="Arial" w:eastAsia="Times New Roman" w:hAnsi="Arial" w:cs="Arial"/>
          <w:sz w:val="24"/>
          <w:szCs w:val="24"/>
        </w:rPr>
      </w:pPr>
      <w:r w:rsidRPr="006F15EF">
        <w:rPr>
          <w:rFonts w:ascii="Arial" w:eastAsia="Times New Roman" w:hAnsi="Arial" w:cs="Arial"/>
          <w:sz w:val="24"/>
          <w:szCs w:val="24"/>
        </w:rPr>
        <w:t>Anamnese: B-symptomer? Blødning? Plager fra milt? Skjelettsmerter?</w:t>
      </w:r>
    </w:p>
    <w:p w14:paraId="7464B036" w14:textId="77777777" w:rsidR="006F15EF" w:rsidRPr="006F15EF" w:rsidRDefault="006F15EF" w:rsidP="006F15EF">
      <w:pPr>
        <w:widowControl w:val="0"/>
        <w:numPr>
          <w:ilvl w:val="0"/>
          <w:numId w:val="3"/>
        </w:numPr>
        <w:spacing w:after="0" w:line="240" w:lineRule="auto"/>
        <w:rPr>
          <w:rFonts w:ascii="Arial" w:eastAsia="Times New Roman" w:hAnsi="Arial" w:cs="Arial"/>
          <w:sz w:val="24"/>
          <w:szCs w:val="24"/>
        </w:rPr>
      </w:pPr>
      <w:r w:rsidRPr="006F15EF">
        <w:rPr>
          <w:rFonts w:ascii="Arial" w:eastAsia="Times New Roman" w:hAnsi="Arial" w:cs="Arial"/>
          <w:sz w:val="24"/>
          <w:szCs w:val="24"/>
        </w:rPr>
        <w:t>Klinisk undersøkelse: Splenomegali (målt i cm vinkelrett på arcus)? Ekstramedullær sykdom?</w:t>
      </w:r>
    </w:p>
    <w:p w14:paraId="55C8F3BD" w14:textId="77777777" w:rsidR="006F15EF" w:rsidRPr="006F15EF" w:rsidRDefault="006F15EF" w:rsidP="006F15EF">
      <w:pPr>
        <w:widowControl w:val="0"/>
        <w:numPr>
          <w:ilvl w:val="0"/>
          <w:numId w:val="3"/>
        </w:numPr>
        <w:spacing w:after="0" w:line="240" w:lineRule="auto"/>
        <w:rPr>
          <w:rFonts w:ascii="Arial" w:eastAsia="Times New Roman" w:hAnsi="Arial" w:cs="Arial"/>
          <w:sz w:val="24"/>
          <w:szCs w:val="24"/>
        </w:rPr>
      </w:pPr>
      <w:r w:rsidRPr="006F15EF">
        <w:rPr>
          <w:rFonts w:ascii="Arial" w:eastAsia="Times New Roman" w:hAnsi="Arial" w:cs="Arial"/>
          <w:sz w:val="24"/>
          <w:szCs w:val="24"/>
        </w:rPr>
        <w:t>Blodprøver: Hemoglobin, hvite, trombocytter, manuell diff, RT-qPCR for BCR-ABL analyse</w:t>
      </w:r>
    </w:p>
    <w:p w14:paraId="193B77B3" w14:textId="77777777" w:rsidR="006F15EF" w:rsidRPr="006F15EF" w:rsidRDefault="006F15EF" w:rsidP="006F15EF">
      <w:pPr>
        <w:widowControl w:val="0"/>
        <w:numPr>
          <w:ilvl w:val="0"/>
          <w:numId w:val="3"/>
        </w:numPr>
        <w:spacing w:after="0" w:line="240" w:lineRule="auto"/>
        <w:rPr>
          <w:rFonts w:ascii="Arial" w:eastAsia="Times New Roman" w:hAnsi="Arial" w:cs="Arial"/>
          <w:sz w:val="24"/>
          <w:szCs w:val="24"/>
        </w:rPr>
      </w:pPr>
      <w:r w:rsidRPr="006F15EF">
        <w:rPr>
          <w:rFonts w:ascii="Arial" w:eastAsia="Times New Roman" w:hAnsi="Arial" w:cs="Arial"/>
          <w:sz w:val="24"/>
          <w:szCs w:val="24"/>
        </w:rPr>
        <w:t>Beinmargsaspirat: Morfologisk vurdering + cytogenetisk undersøkelse (G-båndsanalyse)</w:t>
      </w:r>
    </w:p>
    <w:p w14:paraId="196BBFEF" w14:textId="2EC97CB9" w:rsidR="006F15EF" w:rsidRPr="006F15EF" w:rsidRDefault="006F15EF" w:rsidP="006F15EF">
      <w:pPr>
        <w:widowControl w:val="0"/>
        <w:numPr>
          <w:ilvl w:val="0"/>
          <w:numId w:val="3"/>
        </w:numPr>
        <w:spacing w:after="0" w:line="240" w:lineRule="auto"/>
        <w:rPr>
          <w:rFonts w:ascii="Arial" w:eastAsia="Times New Roman" w:hAnsi="Arial" w:cs="Times New Roman"/>
          <w:color w:val="0000FF"/>
          <w:sz w:val="24"/>
          <w:szCs w:val="24"/>
          <w:u w:val="single"/>
        </w:rPr>
      </w:pPr>
      <w:r w:rsidRPr="006F15EF">
        <w:rPr>
          <w:rFonts w:ascii="Arial" w:eastAsia="Times New Roman" w:hAnsi="Arial" w:cs="Arial"/>
          <w:sz w:val="24"/>
          <w:szCs w:val="24"/>
        </w:rPr>
        <w:t xml:space="preserve">Risikostratifisere: Beregne </w:t>
      </w:r>
      <w:r w:rsidR="00CC4376">
        <w:rPr>
          <w:rFonts w:ascii="Arial" w:eastAsia="Times New Roman" w:hAnsi="Arial" w:cs="Arial"/>
          <w:sz w:val="24"/>
          <w:szCs w:val="24"/>
        </w:rPr>
        <w:t>ELTS</w:t>
      </w:r>
      <w:r w:rsidR="00CC4376" w:rsidRPr="006F15EF">
        <w:rPr>
          <w:rFonts w:ascii="Arial" w:eastAsia="Times New Roman" w:hAnsi="Arial" w:cs="Arial"/>
          <w:sz w:val="24"/>
          <w:szCs w:val="24"/>
        </w:rPr>
        <w:t xml:space="preserve"> </w:t>
      </w:r>
      <w:r w:rsidRPr="006F15EF">
        <w:rPr>
          <w:rFonts w:ascii="Arial" w:eastAsia="Times New Roman" w:hAnsi="Arial" w:cs="Arial"/>
          <w:sz w:val="24"/>
          <w:szCs w:val="24"/>
        </w:rPr>
        <w:t xml:space="preserve">skår </w:t>
      </w:r>
      <w:hyperlink r:id="rId10" w:history="1">
        <w:r w:rsidRPr="006F15EF">
          <w:rPr>
            <w:rFonts w:ascii="Arial" w:eastAsia="Times New Roman" w:hAnsi="Arial" w:cs="Times New Roman"/>
            <w:color w:val="0000FF"/>
            <w:sz w:val="24"/>
            <w:szCs w:val="24"/>
            <w:u w:val="single"/>
          </w:rPr>
          <w:t>http://www.leukemia-net.org/content/leukemias/cml/cml_score/index_eng.html</w:t>
        </w:r>
      </w:hyperlink>
    </w:p>
    <w:p w14:paraId="55AEE640" w14:textId="77777777" w:rsidR="006F15EF" w:rsidRPr="006F15EF" w:rsidRDefault="006F15EF" w:rsidP="006F15EF">
      <w:pPr>
        <w:widowControl w:val="0"/>
        <w:numPr>
          <w:ilvl w:val="0"/>
          <w:numId w:val="3"/>
        </w:numPr>
        <w:spacing w:after="0" w:line="240" w:lineRule="auto"/>
        <w:rPr>
          <w:rFonts w:ascii="Arial" w:eastAsia="Times New Roman" w:hAnsi="Arial" w:cs="Arial"/>
          <w:sz w:val="24"/>
          <w:szCs w:val="24"/>
        </w:rPr>
      </w:pPr>
      <w:r w:rsidRPr="006F15EF">
        <w:rPr>
          <w:rFonts w:ascii="Arial" w:eastAsia="Times New Roman" w:hAnsi="Arial" w:cs="Arial"/>
          <w:sz w:val="24"/>
          <w:szCs w:val="24"/>
        </w:rPr>
        <w:t>Melding til Kreftregisteret</w:t>
      </w:r>
      <w:r w:rsidR="00CC4376">
        <w:rPr>
          <w:rFonts w:ascii="Arial" w:eastAsia="Times New Roman" w:hAnsi="Arial" w:cs="Arial"/>
          <w:sz w:val="24"/>
          <w:szCs w:val="24"/>
        </w:rPr>
        <w:t xml:space="preserve"> via KREMT</w:t>
      </w:r>
    </w:p>
    <w:p w14:paraId="31C40875" w14:textId="77777777" w:rsidR="006F15EF" w:rsidRPr="006F15EF" w:rsidRDefault="006F15EF" w:rsidP="006F15EF">
      <w:pPr>
        <w:widowControl w:val="0"/>
        <w:numPr>
          <w:ilvl w:val="0"/>
          <w:numId w:val="3"/>
        </w:numPr>
        <w:spacing w:after="0" w:line="240" w:lineRule="auto"/>
        <w:rPr>
          <w:rFonts w:ascii="Arial" w:eastAsia="Times New Roman" w:hAnsi="Arial" w:cs="Arial"/>
          <w:sz w:val="24"/>
          <w:szCs w:val="24"/>
        </w:rPr>
      </w:pPr>
      <w:r w:rsidRPr="006F15EF">
        <w:rPr>
          <w:rFonts w:ascii="Arial" w:eastAsia="Times New Roman" w:hAnsi="Arial" w:cs="Arial"/>
          <w:sz w:val="24"/>
          <w:szCs w:val="24"/>
        </w:rPr>
        <w:t>Studie?</w:t>
      </w:r>
      <w:r w:rsidRPr="006F15EF">
        <w:rPr>
          <w:rFonts w:ascii="Arial" w:eastAsia="Times New Roman" w:hAnsi="Arial" w:cs="Arial"/>
          <w:sz w:val="24"/>
          <w:szCs w:val="24"/>
        </w:rPr>
        <w:tab/>
        <w:t xml:space="preserve"> Kontakt universitetssykehus</w:t>
      </w:r>
    </w:p>
    <w:p w14:paraId="488536DD" w14:textId="77777777" w:rsidR="006F15EF" w:rsidRPr="006F15EF" w:rsidRDefault="006F15EF" w:rsidP="006F15EF">
      <w:pPr>
        <w:keepNext/>
        <w:widowControl w:val="0"/>
        <w:numPr>
          <w:ilvl w:val="1"/>
          <w:numId w:val="1"/>
        </w:numPr>
        <w:tabs>
          <w:tab w:val="left" w:pos="1620"/>
        </w:tabs>
        <w:spacing w:before="220" w:after="200" w:line="240" w:lineRule="auto"/>
        <w:ind w:left="1080"/>
        <w:outlineLvl w:val="1"/>
        <w:rPr>
          <w:rFonts w:ascii="Arial" w:eastAsia="Times New Roman" w:hAnsi="Arial" w:cs="Arial"/>
          <w:b/>
          <w:bCs/>
          <w:color w:val="000000"/>
          <w:sz w:val="24"/>
          <w:szCs w:val="24"/>
        </w:rPr>
      </w:pPr>
      <w:bookmarkStart w:id="13" w:name="_Toc365452283"/>
      <w:bookmarkStart w:id="14" w:name="_Toc438470526"/>
      <w:r w:rsidRPr="006F15EF">
        <w:rPr>
          <w:rFonts w:ascii="Calibri" w:eastAsia="Times New Roman" w:hAnsi="Calibri" w:cs="Calibri"/>
          <w:b/>
          <w:bCs/>
          <w:color w:val="000000"/>
          <w:sz w:val="24"/>
          <w:szCs w:val="24"/>
        </w:rPr>
        <w:t>Prognose og risikofaktorer for sykdomsprogresjon</w:t>
      </w:r>
      <w:bookmarkEnd w:id="13"/>
      <w:bookmarkEnd w:id="14"/>
    </w:p>
    <w:p w14:paraId="39968544" w14:textId="3B8787D7" w:rsidR="006F15EF" w:rsidRPr="00153DD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 xml:space="preserve">Alder, miltstørrelse platetall, prosentandel basofile, eosinofile og myeloblaster i perifert blod har prognostisk betydning og danner grunnlag for forskjellige skåringssystemer for pasientens risiko for sykdomsprogresjon. Sokal og </w:t>
      </w:r>
      <w:r w:rsidR="00CC4376">
        <w:rPr>
          <w:rFonts w:ascii="Arial" w:eastAsia="Times New Roman" w:hAnsi="Arial" w:cs="Arial"/>
          <w:sz w:val="24"/>
          <w:szCs w:val="24"/>
        </w:rPr>
        <w:t>ELTS</w:t>
      </w:r>
      <w:r w:rsidR="00CC4376" w:rsidRPr="006F15EF">
        <w:rPr>
          <w:rFonts w:ascii="Arial" w:eastAsia="Times New Roman" w:hAnsi="Arial" w:cs="Arial"/>
          <w:sz w:val="24"/>
          <w:szCs w:val="24"/>
        </w:rPr>
        <w:t xml:space="preserve"> </w:t>
      </w:r>
      <w:r w:rsidRPr="006F15EF">
        <w:rPr>
          <w:rFonts w:ascii="Arial" w:eastAsia="Times New Roman" w:hAnsi="Arial" w:cs="Arial"/>
          <w:sz w:val="24"/>
          <w:szCs w:val="24"/>
        </w:rPr>
        <w:t xml:space="preserve">skår anses å være best egnet ved TKI-behandling og brukes mest. </w:t>
      </w:r>
      <w:r w:rsidR="00EE1DF9">
        <w:rPr>
          <w:rFonts w:ascii="Arial" w:eastAsia="Times New Roman" w:hAnsi="Arial" w:cs="Arial"/>
          <w:sz w:val="24"/>
          <w:szCs w:val="24"/>
        </w:rPr>
        <w:t xml:space="preserve">ELTS </w:t>
      </w:r>
      <w:r w:rsidR="00CC4376">
        <w:rPr>
          <w:rFonts w:ascii="Arial" w:eastAsia="Times New Roman" w:hAnsi="Arial" w:cs="Arial"/>
          <w:sz w:val="24"/>
          <w:szCs w:val="24"/>
        </w:rPr>
        <w:t>angir risko for død av KML og</w:t>
      </w:r>
      <w:r w:rsidR="00EE1DF9">
        <w:rPr>
          <w:rFonts w:ascii="Arial" w:eastAsia="Times New Roman" w:hAnsi="Arial" w:cs="Arial"/>
          <w:sz w:val="24"/>
          <w:szCs w:val="24"/>
        </w:rPr>
        <w:t xml:space="preserve"> skal i første rekke benyttes.</w:t>
      </w:r>
      <w:r w:rsidR="00982EFA">
        <w:rPr>
          <w:rFonts w:ascii="Arial" w:eastAsia="Times New Roman" w:hAnsi="Arial" w:cs="Arial"/>
          <w:sz w:val="24"/>
          <w:szCs w:val="24"/>
        </w:rPr>
        <w:t xml:space="preserve"> Sokal </w:t>
      </w:r>
      <w:r w:rsidR="00A309E0">
        <w:rPr>
          <w:rFonts w:ascii="Arial" w:eastAsia="Times New Roman" w:hAnsi="Arial" w:cs="Arial"/>
          <w:sz w:val="24"/>
          <w:szCs w:val="24"/>
        </w:rPr>
        <w:t xml:space="preserve">er lagt til side fordi mange pasienter med </w:t>
      </w:r>
      <w:r w:rsidR="00982EFA">
        <w:rPr>
          <w:rFonts w:ascii="Arial" w:eastAsia="Times New Roman" w:hAnsi="Arial" w:cs="Arial"/>
          <w:sz w:val="24"/>
          <w:szCs w:val="24"/>
        </w:rPr>
        <w:t>høy</w:t>
      </w:r>
      <w:r w:rsidR="00A309E0">
        <w:rPr>
          <w:rFonts w:ascii="Arial" w:eastAsia="Times New Roman" w:hAnsi="Arial" w:cs="Arial"/>
          <w:sz w:val="24"/>
          <w:szCs w:val="24"/>
        </w:rPr>
        <w:t xml:space="preserve"> </w:t>
      </w:r>
      <w:r w:rsidR="00982EFA">
        <w:rPr>
          <w:rFonts w:ascii="Arial" w:eastAsia="Times New Roman" w:hAnsi="Arial" w:cs="Arial"/>
          <w:sz w:val="24"/>
          <w:szCs w:val="24"/>
        </w:rPr>
        <w:t>risk</w:t>
      </w:r>
      <w:r w:rsidR="00A309E0">
        <w:rPr>
          <w:rFonts w:ascii="Arial" w:eastAsia="Times New Roman" w:hAnsi="Arial" w:cs="Arial"/>
          <w:sz w:val="24"/>
          <w:szCs w:val="24"/>
        </w:rPr>
        <w:t xml:space="preserve"> allikevel har god behandlingsrespons</w:t>
      </w:r>
      <w:r w:rsidR="00982EFA">
        <w:rPr>
          <w:rFonts w:ascii="Arial" w:eastAsia="Times New Roman" w:hAnsi="Arial" w:cs="Arial"/>
          <w:sz w:val="24"/>
          <w:szCs w:val="24"/>
        </w:rPr>
        <w:t xml:space="preserve">. </w:t>
      </w:r>
      <w:r w:rsidRPr="006F15EF">
        <w:rPr>
          <w:rFonts w:ascii="Arial" w:eastAsia="Times New Roman" w:hAnsi="Arial" w:cs="Arial"/>
          <w:sz w:val="24"/>
          <w:szCs w:val="24"/>
        </w:rPr>
        <w:t xml:space="preserve">Behandlingsresponsen er allikevel den mest prediktive prognostiske faktor; Også pasienter med høy risikoskår og optimal respons har gode langtidsresultater </w:t>
      </w:r>
      <w:r w:rsidRPr="006F15EF">
        <w:rPr>
          <w:rFonts w:ascii="Arial" w:eastAsia="Times New Roman" w:hAnsi="Arial" w:cs="Arial"/>
          <w:noProof/>
          <w:sz w:val="24"/>
          <w:szCs w:val="24"/>
        </w:rPr>
        <w:t>(6)</w:t>
      </w:r>
      <w:r w:rsidRPr="006F15EF">
        <w:rPr>
          <w:rFonts w:ascii="Arial" w:eastAsia="Times New Roman" w:hAnsi="Arial" w:cs="Arial"/>
          <w:sz w:val="24"/>
          <w:szCs w:val="24"/>
        </w:rPr>
        <w:t xml:space="preserve">. Noen cytogenetiske tilleggsabnormiteter til Ph er forbundet med dårligere prognose </w:t>
      </w:r>
      <w:r w:rsidRPr="006F15EF">
        <w:rPr>
          <w:rFonts w:ascii="Arial" w:eastAsia="Times New Roman" w:hAnsi="Arial" w:cs="Arial"/>
          <w:noProof/>
          <w:sz w:val="24"/>
          <w:szCs w:val="24"/>
        </w:rPr>
        <w:lastRenderedPageBreak/>
        <w:t>(7)</w:t>
      </w:r>
      <w:r w:rsidRPr="006F15EF">
        <w:rPr>
          <w:rFonts w:ascii="Arial" w:eastAsia="Times New Roman" w:hAnsi="Arial" w:cs="Arial"/>
          <w:color w:val="FF0000"/>
          <w:sz w:val="24"/>
          <w:szCs w:val="24"/>
        </w:rPr>
        <w:t>.</w:t>
      </w:r>
      <w:r w:rsidR="00EE1DF9">
        <w:rPr>
          <w:rFonts w:ascii="Arial" w:eastAsia="Times New Roman" w:hAnsi="Arial" w:cs="Arial"/>
          <w:color w:val="FF0000"/>
          <w:sz w:val="24"/>
          <w:szCs w:val="24"/>
        </w:rPr>
        <w:t xml:space="preserve"> </w:t>
      </w:r>
      <w:r w:rsidR="00B2752D" w:rsidRPr="00153DDF">
        <w:rPr>
          <w:rFonts w:ascii="Arial" w:eastAsia="Times New Roman" w:hAnsi="Arial" w:cs="Arial"/>
          <w:sz w:val="24"/>
          <w:szCs w:val="24"/>
        </w:rPr>
        <w:t>Også i KML er det funnet</w:t>
      </w:r>
      <w:r w:rsidR="00EE1DF9" w:rsidRPr="00153DDF">
        <w:rPr>
          <w:rFonts w:ascii="Arial" w:eastAsia="Times New Roman" w:hAnsi="Arial" w:cs="Arial"/>
          <w:sz w:val="24"/>
          <w:szCs w:val="24"/>
        </w:rPr>
        <w:t xml:space="preserve"> tilleggsmutasjoner kjent fra MDS og klonal hematopoese (</w:t>
      </w:r>
      <w:commentRangeStart w:id="15"/>
      <w:r w:rsidR="00EE1DF9" w:rsidRPr="00153DDF">
        <w:rPr>
          <w:rFonts w:ascii="Arial" w:eastAsia="Times New Roman" w:hAnsi="Arial" w:cs="Arial"/>
          <w:sz w:val="24"/>
          <w:szCs w:val="24"/>
        </w:rPr>
        <w:t>CHIP</w:t>
      </w:r>
      <w:commentRangeEnd w:id="15"/>
      <w:r w:rsidR="00EE1DF9" w:rsidRPr="00844097">
        <w:rPr>
          <w:rStyle w:val="CommentReference"/>
        </w:rPr>
        <w:commentReference w:id="15"/>
      </w:r>
      <w:r w:rsidR="00EE1DF9" w:rsidRPr="00153DDF">
        <w:rPr>
          <w:rFonts w:ascii="Arial" w:eastAsia="Times New Roman" w:hAnsi="Arial" w:cs="Arial"/>
          <w:sz w:val="24"/>
          <w:szCs w:val="24"/>
        </w:rPr>
        <w:t>)</w:t>
      </w:r>
      <w:r w:rsidR="00B2752D" w:rsidRPr="00153DDF">
        <w:rPr>
          <w:rFonts w:ascii="Arial" w:eastAsia="Times New Roman" w:hAnsi="Arial" w:cs="Arial"/>
          <w:sz w:val="24"/>
          <w:szCs w:val="24"/>
        </w:rPr>
        <w:t xml:space="preserve"> og slike mutasjoner er til en viss grad assosiert med behandlingsresistens og forekommer </w:t>
      </w:r>
      <w:r w:rsidR="00982EFA" w:rsidRPr="00153DDF">
        <w:rPr>
          <w:rFonts w:ascii="Arial" w:eastAsia="Times New Roman" w:hAnsi="Arial" w:cs="Arial"/>
          <w:sz w:val="24"/>
          <w:szCs w:val="24"/>
        </w:rPr>
        <w:t>ofte ved</w:t>
      </w:r>
      <w:r w:rsidR="00B2752D" w:rsidRPr="00153DDF">
        <w:rPr>
          <w:rFonts w:ascii="Arial" w:eastAsia="Times New Roman" w:hAnsi="Arial" w:cs="Arial"/>
          <w:sz w:val="24"/>
          <w:szCs w:val="24"/>
        </w:rPr>
        <w:t xml:space="preserve"> blastkrise.</w:t>
      </w:r>
      <w:r w:rsidR="00982EFA" w:rsidRPr="00153DDF">
        <w:rPr>
          <w:rFonts w:ascii="Arial" w:eastAsia="Times New Roman" w:hAnsi="Arial" w:cs="Arial"/>
          <w:sz w:val="24"/>
          <w:szCs w:val="24"/>
        </w:rPr>
        <w:t xml:space="preserve"> Myeloid </w:t>
      </w:r>
      <w:r w:rsidR="003E4C3F" w:rsidRPr="00153DDF">
        <w:rPr>
          <w:rFonts w:ascii="Arial" w:eastAsia="Times New Roman" w:hAnsi="Arial" w:cs="Arial"/>
          <w:sz w:val="24"/>
          <w:szCs w:val="24"/>
        </w:rPr>
        <w:t>mutasjons</w:t>
      </w:r>
      <w:r w:rsidR="00982EFA" w:rsidRPr="00153DDF">
        <w:rPr>
          <w:rFonts w:ascii="Arial" w:eastAsia="Times New Roman" w:hAnsi="Arial" w:cs="Arial"/>
          <w:sz w:val="24"/>
          <w:szCs w:val="24"/>
        </w:rPr>
        <w:t xml:space="preserve">panel </w:t>
      </w:r>
      <w:r w:rsidR="003E4C3F" w:rsidRPr="00153DDF">
        <w:rPr>
          <w:rFonts w:ascii="Arial" w:eastAsia="Times New Roman" w:hAnsi="Arial" w:cs="Arial"/>
          <w:sz w:val="24"/>
          <w:szCs w:val="24"/>
        </w:rPr>
        <w:t xml:space="preserve">undersøkelse </w:t>
      </w:r>
      <w:r w:rsidR="00982EFA" w:rsidRPr="00153DDF">
        <w:rPr>
          <w:rFonts w:ascii="Arial" w:eastAsia="Times New Roman" w:hAnsi="Arial" w:cs="Arial"/>
          <w:sz w:val="24"/>
          <w:szCs w:val="24"/>
        </w:rPr>
        <w:t xml:space="preserve">er allikevel ikke anbefalt i klinisk praksis. </w:t>
      </w:r>
    </w:p>
    <w:p w14:paraId="493471B4" w14:textId="3FC2B54B" w:rsidR="00A309E0" w:rsidRPr="006F15EF" w:rsidRDefault="00503048" w:rsidP="00153DDF">
      <w:pPr>
        <w:widowControl w:val="0"/>
        <w:tabs>
          <w:tab w:val="left" w:pos="3130"/>
        </w:tabs>
        <w:spacing w:after="0" w:line="240" w:lineRule="auto"/>
        <w:ind w:left="567"/>
        <w:rPr>
          <w:rFonts w:ascii="Arial" w:eastAsia="Times New Roman" w:hAnsi="Arial" w:cs="Arial"/>
          <w:color w:val="FF0000"/>
          <w:sz w:val="24"/>
          <w:szCs w:val="24"/>
        </w:rPr>
      </w:pPr>
      <w:r>
        <w:rPr>
          <w:rFonts w:ascii="Arial" w:eastAsia="Times New Roman" w:hAnsi="Arial" w:cs="Arial"/>
          <w:color w:val="FF0000"/>
          <w:sz w:val="24"/>
          <w:szCs w:val="24"/>
        </w:rPr>
        <w:tab/>
      </w:r>
    </w:p>
    <w:p w14:paraId="5E835865" w14:textId="77777777" w:rsidR="006F15EF" w:rsidRPr="006F15EF" w:rsidRDefault="006F15EF" w:rsidP="006F15EF">
      <w:pPr>
        <w:keepNext/>
        <w:widowControl w:val="0"/>
        <w:numPr>
          <w:ilvl w:val="2"/>
          <w:numId w:val="1"/>
        </w:numPr>
        <w:tabs>
          <w:tab w:val="left" w:pos="1418"/>
        </w:tabs>
        <w:spacing w:before="200" w:after="200" w:line="240" w:lineRule="auto"/>
        <w:ind w:left="1080"/>
        <w:outlineLvl w:val="2"/>
        <w:rPr>
          <w:rFonts w:ascii="Arial" w:eastAsia="Times New Roman" w:hAnsi="Arial" w:cs="Arial"/>
          <w:b/>
          <w:bCs/>
          <w:i/>
          <w:iCs/>
          <w:sz w:val="24"/>
          <w:szCs w:val="24"/>
        </w:rPr>
      </w:pPr>
      <w:bookmarkStart w:id="16" w:name="_Toc365452284"/>
      <w:bookmarkStart w:id="17" w:name="_Toc438470527"/>
      <w:r w:rsidRPr="006F15EF">
        <w:rPr>
          <w:rFonts w:ascii="Arial" w:eastAsia="Times New Roman" w:hAnsi="Arial" w:cs="Arial"/>
          <w:b/>
          <w:bCs/>
          <w:i/>
          <w:iCs/>
          <w:sz w:val="24"/>
          <w:szCs w:val="24"/>
        </w:rPr>
        <w:t>Definisjoner</w:t>
      </w:r>
      <w:bookmarkEnd w:id="16"/>
      <w:bookmarkEnd w:id="17"/>
    </w:p>
    <w:tbl>
      <w:tblPr>
        <w:tblW w:w="0" w:type="auto"/>
        <w:tblCellMar>
          <w:top w:w="15" w:type="dxa"/>
          <w:left w:w="15" w:type="dxa"/>
          <w:bottom w:w="15" w:type="dxa"/>
          <w:right w:w="15" w:type="dxa"/>
        </w:tblCellMar>
        <w:tblLook w:val="04A0" w:firstRow="1" w:lastRow="0" w:firstColumn="1" w:lastColumn="0" w:noHBand="0" w:noVBand="1"/>
      </w:tblPr>
      <w:tblGrid>
        <w:gridCol w:w="4765"/>
        <w:gridCol w:w="4641"/>
      </w:tblGrid>
      <w:tr w:rsidR="00B435C1" w:rsidRPr="00F43D0E" w14:paraId="1C17EB87" w14:textId="77777777" w:rsidTr="00F43D0E">
        <w:tc>
          <w:tcPr>
            <w:tcW w:w="0" w:type="auto"/>
            <w:shd w:val="clear" w:color="auto" w:fill="auto"/>
            <w:tcMar>
              <w:top w:w="0" w:type="dxa"/>
              <w:left w:w="0" w:type="dxa"/>
              <w:bottom w:w="0" w:type="dxa"/>
              <w:right w:w="0" w:type="dxa"/>
            </w:tcMar>
            <w:vAlign w:val="center"/>
            <w:hideMark/>
          </w:tcPr>
          <w:p w14:paraId="430B6CFA" w14:textId="77777777"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b/>
                <w:bCs/>
                <w:sz w:val="24"/>
                <w:szCs w:val="24"/>
              </w:rPr>
              <w:t>WHO</w:t>
            </w:r>
          </w:p>
        </w:tc>
        <w:tc>
          <w:tcPr>
            <w:tcW w:w="0" w:type="auto"/>
            <w:shd w:val="clear" w:color="auto" w:fill="auto"/>
            <w:tcMar>
              <w:top w:w="0" w:type="dxa"/>
              <w:left w:w="0" w:type="dxa"/>
              <w:bottom w:w="0" w:type="dxa"/>
              <w:right w:w="0" w:type="dxa"/>
            </w:tcMar>
            <w:vAlign w:val="center"/>
            <w:hideMark/>
          </w:tcPr>
          <w:p w14:paraId="286093EE" w14:textId="77777777" w:rsidR="00B435C1"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b/>
                <w:bCs/>
                <w:sz w:val="24"/>
                <w:szCs w:val="24"/>
              </w:rPr>
              <w:t>European LeukemiaNet (ELN)</w:t>
            </w:r>
          </w:p>
        </w:tc>
      </w:tr>
      <w:tr w:rsidR="00F43D0E" w:rsidRPr="00F43D0E" w14:paraId="679A6300" w14:textId="77777777" w:rsidTr="00F43D0E">
        <w:tc>
          <w:tcPr>
            <w:tcW w:w="0" w:type="auto"/>
            <w:gridSpan w:val="2"/>
            <w:shd w:val="clear" w:color="auto" w:fill="auto"/>
            <w:tcMar>
              <w:top w:w="0" w:type="dxa"/>
              <w:left w:w="0" w:type="dxa"/>
              <w:bottom w:w="0" w:type="dxa"/>
              <w:right w:w="0" w:type="dxa"/>
            </w:tcMar>
            <w:vAlign w:val="center"/>
            <w:hideMark/>
          </w:tcPr>
          <w:p w14:paraId="5CB35A41" w14:textId="34EB6C67" w:rsidR="00B435C1" w:rsidRPr="00F43D0E" w:rsidRDefault="00F43D0E" w:rsidP="00F43D0E">
            <w:pPr>
              <w:widowControl w:val="0"/>
              <w:spacing w:after="0" w:line="240" w:lineRule="auto"/>
              <w:ind w:left="567"/>
              <w:rPr>
                <w:rFonts w:ascii="Arial" w:eastAsia="Times New Roman" w:hAnsi="Arial" w:cs="Arial"/>
                <w:sz w:val="24"/>
                <w:szCs w:val="24"/>
                <w:lang w:val="en-US"/>
              </w:rPr>
            </w:pPr>
            <w:r w:rsidRPr="00F43D0E">
              <w:rPr>
                <w:rFonts w:ascii="Arial" w:eastAsia="Times New Roman" w:hAnsi="Arial" w:cs="Arial"/>
                <w:b/>
                <w:bCs/>
                <w:sz w:val="24"/>
                <w:szCs w:val="24"/>
                <w:lang w:val="en-US"/>
              </w:rPr>
              <w:t>Kronisk fas</w:t>
            </w:r>
            <w:r>
              <w:rPr>
                <w:rFonts w:ascii="Arial" w:eastAsia="Times New Roman" w:hAnsi="Arial" w:cs="Arial"/>
                <w:b/>
                <w:bCs/>
                <w:sz w:val="24"/>
                <w:szCs w:val="24"/>
                <w:lang w:val="en-US"/>
              </w:rPr>
              <w:t>e</w:t>
            </w:r>
            <w:r w:rsidRPr="00F43D0E">
              <w:rPr>
                <w:rFonts w:ascii="Arial" w:eastAsia="Times New Roman" w:hAnsi="Arial" w:cs="Arial"/>
                <w:b/>
                <w:bCs/>
                <w:sz w:val="24"/>
                <w:szCs w:val="24"/>
                <w:lang w:val="en-US"/>
              </w:rPr>
              <w:t xml:space="preserve"> (CP, chronic phase)</w:t>
            </w:r>
          </w:p>
        </w:tc>
      </w:tr>
      <w:tr w:rsidR="00B435C1" w:rsidRPr="00F43D0E" w14:paraId="6632447D" w14:textId="77777777" w:rsidTr="00F43D0E">
        <w:tc>
          <w:tcPr>
            <w:tcW w:w="0" w:type="auto"/>
            <w:shd w:val="clear" w:color="auto" w:fill="auto"/>
            <w:tcMar>
              <w:top w:w="0" w:type="dxa"/>
              <w:left w:w="0" w:type="dxa"/>
              <w:bottom w:w="0" w:type="dxa"/>
              <w:right w:w="0" w:type="dxa"/>
            </w:tcMar>
            <w:vAlign w:val="center"/>
            <w:hideMark/>
          </w:tcPr>
          <w:p w14:paraId="28D4ECB7" w14:textId="6D1BAEB5"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Blaster i benm</w:t>
            </w:r>
            <w:r>
              <w:rPr>
                <w:rFonts w:ascii="Arial" w:eastAsia="Times New Roman" w:hAnsi="Arial" w:cs="Arial"/>
                <w:sz w:val="24"/>
                <w:szCs w:val="24"/>
              </w:rPr>
              <w:t>a</w:t>
            </w:r>
            <w:r w:rsidRPr="00F43D0E">
              <w:rPr>
                <w:rFonts w:ascii="Arial" w:eastAsia="Times New Roman" w:hAnsi="Arial" w:cs="Arial"/>
                <w:sz w:val="24"/>
                <w:szCs w:val="24"/>
              </w:rPr>
              <w:t>rg &lt; 10 %.</w:t>
            </w:r>
          </w:p>
          <w:p w14:paraId="0B89E9AC" w14:textId="0C22C686" w:rsidR="00B435C1"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Ing</w:t>
            </w:r>
            <w:r>
              <w:rPr>
                <w:rFonts w:ascii="Arial" w:eastAsia="Times New Roman" w:hAnsi="Arial" w:cs="Arial"/>
                <w:sz w:val="24"/>
                <w:szCs w:val="24"/>
              </w:rPr>
              <w:t>en</w:t>
            </w:r>
            <w:r w:rsidRPr="00F43D0E">
              <w:rPr>
                <w:rFonts w:ascii="Arial" w:eastAsia="Times New Roman" w:hAnsi="Arial" w:cs="Arial"/>
                <w:sz w:val="24"/>
                <w:szCs w:val="24"/>
              </w:rPr>
              <w:t xml:space="preserve"> av  kriterie</w:t>
            </w:r>
            <w:r>
              <w:rPr>
                <w:rFonts w:ascii="Arial" w:eastAsia="Times New Roman" w:hAnsi="Arial" w:cs="Arial"/>
                <w:sz w:val="24"/>
                <w:szCs w:val="24"/>
              </w:rPr>
              <w:t>ne</w:t>
            </w:r>
            <w:r w:rsidRPr="00F43D0E">
              <w:rPr>
                <w:rFonts w:ascii="Arial" w:eastAsia="Times New Roman" w:hAnsi="Arial" w:cs="Arial"/>
                <w:sz w:val="24"/>
                <w:szCs w:val="24"/>
              </w:rPr>
              <w:t xml:space="preserve"> f</w:t>
            </w:r>
            <w:r>
              <w:rPr>
                <w:rFonts w:ascii="Arial" w:eastAsia="Times New Roman" w:hAnsi="Arial" w:cs="Arial"/>
                <w:sz w:val="24"/>
                <w:szCs w:val="24"/>
              </w:rPr>
              <w:t>o</w:t>
            </w:r>
            <w:r w:rsidRPr="00F43D0E">
              <w:rPr>
                <w:rFonts w:ascii="Arial" w:eastAsia="Times New Roman" w:hAnsi="Arial" w:cs="Arial"/>
                <w:sz w:val="24"/>
                <w:szCs w:val="24"/>
              </w:rPr>
              <w:t>r AP/BC</w:t>
            </w:r>
            <w:r>
              <w:rPr>
                <w:rFonts w:ascii="Arial" w:eastAsia="Times New Roman" w:hAnsi="Arial" w:cs="Arial"/>
                <w:sz w:val="24"/>
                <w:szCs w:val="24"/>
              </w:rPr>
              <w:t xml:space="preserve"> angitt under</w:t>
            </w:r>
            <w:r w:rsidRPr="00F43D0E">
              <w:rPr>
                <w:rFonts w:ascii="Arial" w:eastAsia="Times New Roman" w:hAnsi="Arial" w:cs="Arial"/>
                <w:sz w:val="24"/>
                <w:szCs w:val="24"/>
              </w:rPr>
              <w:t>.</w:t>
            </w:r>
          </w:p>
        </w:tc>
        <w:tc>
          <w:tcPr>
            <w:tcW w:w="0" w:type="auto"/>
            <w:shd w:val="clear" w:color="auto" w:fill="auto"/>
            <w:tcMar>
              <w:top w:w="0" w:type="dxa"/>
              <w:left w:w="0" w:type="dxa"/>
              <w:bottom w:w="0" w:type="dxa"/>
              <w:right w:w="0" w:type="dxa"/>
            </w:tcMar>
            <w:vAlign w:val="center"/>
            <w:hideMark/>
          </w:tcPr>
          <w:p w14:paraId="44D62002" w14:textId="2D26B6AE"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Blaster i benm</w:t>
            </w:r>
            <w:r>
              <w:rPr>
                <w:rFonts w:ascii="Arial" w:eastAsia="Times New Roman" w:hAnsi="Arial" w:cs="Arial"/>
                <w:sz w:val="24"/>
                <w:szCs w:val="24"/>
              </w:rPr>
              <w:t>a</w:t>
            </w:r>
            <w:r w:rsidRPr="00F43D0E">
              <w:rPr>
                <w:rFonts w:ascii="Arial" w:eastAsia="Times New Roman" w:hAnsi="Arial" w:cs="Arial"/>
                <w:sz w:val="24"/>
                <w:szCs w:val="24"/>
              </w:rPr>
              <w:t>rg &lt; 15 %.</w:t>
            </w:r>
          </w:p>
          <w:p w14:paraId="6596D33A" w14:textId="58E65610" w:rsidR="00B435C1"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Ing</w:t>
            </w:r>
            <w:r>
              <w:rPr>
                <w:rFonts w:ascii="Arial" w:eastAsia="Times New Roman" w:hAnsi="Arial" w:cs="Arial"/>
                <w:sz w:val="24"/>
                <w:szCs w:val="24"/>
              </w:rPr>
              <w:t>en</w:t>
            </w:r>
            <w:r w:rsidRPr="00F43D0E">
              <w:rPr>
                <w:rFonts w:ascii="Arial" w:eastAsia="Times New Roman" w:hAnsi="Arial" w:cs="Arial"/>
                <w:sz w:val="24"/>
                <w:szCs w:val="24"/>
              </w:rPr>
              <w:t xml:space="preserve"> av kriterie</w:t>
            </w:r>
            <w:r>
              <w:rPr>
                <w:rFonts w:ascii="Arial" w:eastAsia="Times New Roman" w:hAnsi="Arial" w:cs="Arial"/>
                <w:sz w:val="24"/>
                <w:szCs w:val="24"/>
              </w:rPr>
              <w:t>ne</w:t>
            </w:r>
            <w:r w:rsidRPr="00F43D0E">
              <w:rPr>
                <w:rFonts w:ascii="Arial" w:eastAsia="Times New Roman" w:hAnsi="Arial" w:cs="Arial"/>
                <w:sz w:val="24"/>
                <w:szCs w:val="24"/>
              </w:rPr>
              <w:t xml:space="preserve"> f</w:t>
            </w:r>
            <w:r>
              <w:rPr>
                <w:rFonts w:ascii="Arial" w:eastAsia="Times New Roman" w:hAnsi="Arial" w:cs="Arial"/>
                <w:sz w:val="24"/>
                <w:szCs w:val="24"/>
              </w:rPr>
              <w:t>o</w:t>
            </w:r>
            <w:r w:rsidRPr="00F43D0E">
              <w:rPr>
                <w:rFonts w:ascii="Arial" w:eastAsia="Times New Roman" w:hAnsi="Arial" w:cs="Arial"/>
                <w:sz w:val="24"/>
                <w:szCs w:val="24"/>
              </w:rPr>
              <w:t>r AP/BC</w:t>
            </w:r>
            <w:r>
              <w:rPr>
                <w:rFonts w:ascii="Arial" w:eastAsia="Times New Roman" w:hAnsi="Arial" w:cs="Arial"/>
                <w:sz w:val="24"/>
                <w:szCs w:val="24"/>
              </w:rPr>
              <w:t xml:space="preserve"> angitt under</w:t>
            </w:r>
            <w:r w:rsidRPr="00F43D0E">
              <w:rPr>
                <w:rFonts w:ascii="Arial" w:eastAsia="Times New Roman" w:hAnsi="Arial" w:cs="Arial"/>
                <w:sz w:val="24"/>
                <w:szCs w:val="24"/>
              </w:rPr>
              <w:t>.</w:t>
            </w:r>
          </w:p>
        </w:tc>
      </w:tr>
      <w:tr w:rsidR="00F43D0E" w:rsidRPr="00F43D0E" w14:paraId="402456B3" w14:textId="77777777" w:rsidTr="00F43D0E">
        <w:tc>
          <w:tcPr>
            <w:tcW w:w="0" w:type="auto"/>
            <w:gridSpan w:val="2"/>
            <w:shd w:val="clear" w:color="auto" w:fill="auto"/>
            <w:tcMar>
              <w:top w:w="0" w:type="dxa"/>
              <w:left w:w="0" w:type="dxa"/>
              <w:bottom w:w="0" w:type="dxa"/>
              <w:right w:w="0" w:type="dxa"/>
            </w:tcMar>
            <w:vAlign w:val="center"/>
            <w:hideMark/>
          </w:tcPr>
          <w:p w14:paraId="4C81C758" w14:textId="77777777" w:rsidR="00F43D0E" w:rsidRDefault="00F43D0E" w:rsidP="00F43D0E">
            <w:pPr>
              <w:widowControl w:val="0"/>
              <w:spacing w:after="0" w:line="240" w:lineRule="auto"/>
              <w:ind w:left="567"/>
              <w:rPr>
                <w:rFonts w:ascii="Arial" w:eastAsia="Times New Roman" w:hAnsi="Arial" w:cs="Arial"/>
                <w:b/>
                <w:bCs/>
                <w:sz w:val="24"/>
                <w:szCs w:val="24"/>
              </w:rPr>
            </w:pPr>
          </w:p>
          <w:p w14:paraId="317A693F" w14:textId="1780921C" w:rsidR="00B435C1" w:rsidRPr="00A1775A" w:rsidRDefault="00F43D0E" w:rsidP="00F43D0E">
            <w:pPr>
              <w:widowControl w:val="0"/>
              <w:spacing w:after="0" w:line="240" w:lineRule="auto"/>
              <w:ind w:left="567"/>
              <w:rPr>
                <w:rFonts w:ascii="Arial" w:eastAsia="Times New Roman" w:hAnsi="Arial" w:cs="Arial"/>
                <w:sz w:val="24"/>
                <w:szCs w:val="24"/>
              </w:rPr>
            </w:pPr>
            <w:r w:rsidRPr="00A1775A">
              <w:rPr>
                <w:rFonts w:ascii="Arial" w:eastAsia="Times New Roman" w:hAnsi="Arial" w:cs="Arial"/>
                <w:b/>
                <w:bCs/>
                <w:sz w:val="24"/>
                <w:szCs w:val="24"/>
              </w:rPr>
              <w:t>Akselerert fase (AP, accelerated phase)</w:t>
            </w:r>
          </w:p>
        </w:tc>
      </w:tr>
      <w:tr w:rsidR="00B435C1" w:rsidRPr="00F43D0E" w14:paraId="64DAFFCA" w14:textId="77777777" w:rsidTr="00F43D0E">
        <w:tc>
          <w:tcPr>
            <w:tcW w:w="0" w:type="auto"/>
            <w:shd w:val="clear" w:color="auto" w:fill="auto"/>
            <w:tcMar>
              <w:top w:w="0" w:type="dxa"/>
              <w:left w:w="0" w:type="dxa"/>
              <w:bottom w:w="0" w:type="dxa"/>
              <w:right w:w="0" w:type="dxa"/>
            </w:tcMar>
            <w:vAlign w:val="center"/>
            <w:hideMark/>
          </w:tcPr>
          <w:p w14:paraId="4D1EEF70" w14:textId="09C13127"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Blaster i blod eller benm</w:t>
            </w:r>
            <w:r>
              <w:rPr>
                <w:rFonts w:ascii="Arial" w:eastAsia="Times New Roman" w:hAnsi="Arial" w:cs="Arial"/>
                <w:sz w:val="24"/>
                <w:szCs w:val="24"/>
              </w:rPr>
              <w:t>a</w:t>
            </w:r>
            <w:r w:rsidRPr="00F43D0E">
              <w:rPr>
                <w:rFonts w:ascii="Arial" w:eastAsia="Times New Roman" w:hAnsi="Arial" w:cs="Arial"/>
                <w:sz w:val="24"/>
                <w:szCs w:val="24"/>
              </w:rPr>
              <w:t>rg 10–19 %.</w:t>
            </w:r>
          </w:p>
          <w:p w14:paraId="36D4706F" w14:textId="53875C2A"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Basofil</w:t>
            </w:r>
            <w:r w:rsidR="00B435C1">
              <w:rPr>
                <w:rFonts w:ascii="Arial" w:eastAsia="Times New Roman" w:hAnsi="Arial" w:cs="Arial"/>
                <w:sz w:val="24"/>
                <w:szCs w:val="24"/>
              </w:rPr>
              <w:t>e</w:t>
            </w:r>
            <w:r w:rsidRPr="00F43D0E">
              <w:rPr>
                <w:rFonts w:ascii="Arial" w:eastAsia="Times New Roman" w:hAnsi="Arial" w:cs="Arial"/>
                <w:sz w:val="24"/>
                <w:szCs w:val="24"/>
              </w:rPr>
              <w:t xml:space="preserve"> i blod ≥ 20 %.</w:t>
            </w:r>
          </w:p>
          <w:p w14:paraId="0EEA1683" w14:textId="5D259AD2"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Persister</w:t>
            </w:r>
            <w:r w:rsidR="00B435C1">
              <w:rPr>
                <w:rFonts w:ascii="Arial" w:eastAsia="Times New Roman" w:hAnsi="Arial" w:cs="Arial"/>
                <w:sz w:val="24"/>
                <w:szCs w:val="24"/>
              </w:rPr>
              <w:t>e</w:t>
            </w:r>
            <w:r w:rsidRPr="00F43D0E">
              <w:rPr>
                <w:rFonts w:ascii="Arial" w:eastAsia="Times New Roman" w:hAnsi="Arial" w:cs="Arial"/>
                <w:sz w:val="24"/>
                <w:szCs w:val="24"/>
              </w:rPr>
              <w:t xml:space="preserve">nde trombocytopeni (&lt; 100) </w:t>
            </w:r>
            <w:r w:rsidR="00B435C1">
              <w:rPr>
                <w:rFonts w:ascii="Arial" w:eastAsia="Times New Roman" w:hAnsi="Arial" w:cs="Arial"/>
                <w:sz w:val="24"/>
                <w:szCs w:val="24"/>
              </w:rPr>
              <w:t>ikke</w:t>
            </w:r>
            <w:r w:rsidRPr="00F43D0E">
              <w:rPr>
                <w:rFonts w:ascii="Arial" w:eastAsia="Times New Roman" w:hAnsi="Arial" w:cs="Arial"/>
                <w:sz w:val="24"/>
                <w:szCs w:val="24"/>
              </w:rPr>
              <w:t xml:space="preserve"> relater</w:t>
            </w:r>
            <w:r w:rsidR="00B435C1">
              <w:rPr>
                <w:rFonts w:ascii="Arial" w:eastAsia="Times New Roman" w:hAnsi="Arial" w:cs="Arial"/>
                <w:sz w:val="24"/>
                <w:szCs w:val="24"/>
              </w:rPr>
              <w:t>t</w:t>
            </w:r>
            <w:r w:rsidRPr="00F43D0E">
              <w:rPr>
                <w:rFonts w:ascii="Arial" w:eastAsia="Times New Roman" w:hAnsi="Arial" w:cs="Arial"/>
                <w:sz w:val="24"/>
                <w:szCs w:val="24"/>
              </w:rPr>
              <w:t xml:space="preserve"> til behandling.</w:t>
            </w:r>
          </w:p>
          <w:p w14:paraId="456E5E4E" w14:textId="03126D89"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Nytillkomn</w:t>
            </w:r>
            <w:r w:rsidR="00B435C1">
              <w:rPr>
                <w:rFonts w:ascii="Arial" w:eastAsia="Times New Roman" w:hAnsi="Arial" w:cs="Arial"/>
                <w:sz w:val="24"/>
                <w:szCs w:val="24"/>
              </w:rPr>
              <w:t>e</w:t>
            </w:r>
            <w:r w:rsidRPr="00F43D0E">
              <w:rPr>
                <w:rFonts w:ascii="Arial" w:eastAsia="Times New Roman" w:hAnsi="Arial" w:cs="Arial"/>
                <w:sz w:val="24"/>
                <w:szCs w:val="24"/>
              </w:rPr>
              <w:t xml:space="preserve"> cytogenetisk</w:t>
            </w:r>
            <w:r w:rsidR="00B435C1">
              <w:rPr>
                <w:rFonts w:ascii="Arial" w:eastAsia="Times New Roman" w:hAnsi="Arial" w:cs="Arial"/>
                <w:sz w:val="24"/>
                <w:szCs w:val="24"/>
              </w:rPr>
              <w:t>e</w:t>
            </w:r>
            <w:r w:rsidRPr="00F43D0E">
              <w:rPr>
                <w:rFonts w:ascii="Arial" w:eastAsia="Times New Roman" w:hAnsi="Arial" w:cs="Arial"/>
                <w:sz w:val="24"/>
                <w:szCs w:val="24"/>
              </w:rPr>
              <w:t xml:space="preserve"> avvik under behandling.</w:t>
            </w:r>
          </w:p>
          <w:p w14:paraId="3624B173" w14:textId="396E627F"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Trombocytos</w:t>
            </w:r>
            <w:r w:rsidR="00B435C1">
              <w:rPr>
                <w:rFonts w:ascii="Arial" w:eastAsia="Times New Roman" w:hAnsi="Arial" w:cs="Arial"/>
                <w:sz w:val="24"/>
                <w:szCs w:val="24"/>
              </w:rPr>
              <w:t>e</w:t>
            </w:r>
            <w:r w:rsidRPr="00F43D0E">
              <w:rPr>
                <w:rFonts w:ascii="Arial" w:eastAsia="Times New Roman" w:hAnsi="Arial" w:cs="Arial"/>
                <w:sz w:val="24"/>
                <w:szCs w:val="24"/>
              </w:rPr>
              <w:t xml:space="preserve"> (&gt; 1 000) som i</w:t>
            </w:r>
            <w:r w:rsidR="00B435C1">
              <w:rPr>
                <w:rFonts w:ascii="Arial" w:eastAsia="Times New Roman" w:hAnsi="Arial" w:cs="Arial"/>
                <w:sz w:val="24"/>
                <w:szCs w:val="24"/>
              </w:rPr>
              <w:t>kk</w:t>
            </w:r>
            <w:r w:rsidRPr="00F43D0E">
              <w:rPr>
                <w:rFonts w:ascii="Arial" w:eastAsia="Times New Roman" w:hAnsi="Arial" w:cs="Arial"/>
                <w:sz w:val="24"/>
                <w:szCs w:val="24"/>
              </w:rPr>
              <w:t xml:space="preserve">e </w:t>
            </w:r>
            <w:r w:rsidR="00B435C1">
              <w:rPr>
                <w:rFonts w:ascii="Arial" w:eastAsia="Times New Roman" w:hAnsi="Arial" w:cs="Arial"/>
                <w:sz w:val="24"/>
                <w:szCs w:val="24"/>
              </w:rPr>
              <w:t>responderer</w:t>
            </w:r>
            <w:r w:rsidRPr="00F43D0E">
              <w:rPr>
                <w:rFonts w:ascii="Arial" w:eastAsia="Times New Roman" w:hAnsi="Arial" w:cs="Arial"/>
                <w:sz w:val="24"/>
                <w:szCs w:val="24"/>
              </w:rPr>
              <w:t xml:space="preserve"> på behandling.</w:t>
            </w:r>
          </w:p>
          <w:p w14:paraId="38B85DD2" w14:textId="6BE4DAB4" w:rsidR="00B435C1" w:rsidRPr="00F43D0E" w:rsidRDefault="00B435C1" w:rsidP="00E54182">
            <w:pPr>
              <w:widowControl w:val="0"/>
              <w:spacing w:after="0" w:line="240" w:lineRule="auto"/>
              <w:ind w:left="567"/>
              <w:rPr>
                <w:rFonts w:ascii="Arial" w:eastAsia="Times New Roman" w:hAnsi="Arial" w:cs="Arial"/>
                <w:sz w:val="24"/>
                <w:szCs w:val="24"/>
              </w:rPr>
            </w:pPr>
            <w:r>
              <w:rPr>
                <w:rFonts w:ascii="Arial" w:eastAsia="Times New Roman" w:hAnsi="Arial" w:cs="Arial"/>
                <w:sz w:val="24"/>
                <w:szCs w:val="24"/>
              </w:rPr>
              <w:t>Ø</w:t>
            </w:r>
            <w:r w:rsidR="00F43D0E" w:rsidRPr="00F43D0E">
              <w:rPr>
                <w:rFonts w:ascii="Arial" w:eastAsia="Times New Roman" w:hAnsi="Arial" w:cs="Arial"/>
                <w:sz w:val="24"/>
                <w:szCs w:val="24"/>
              </w:rPr>
              <w:t>k</w:t>
            </w:r>
            <w:r>
              <w:rPr>
                <w:rFonts w:ascii="Arial" w:eastAsia="Times New Roman" w:hAnsi="Arial" w:cs="Arial"/>
                <w:sz w:val="24"/>
                <w:szCs w:val="24"/>
              </w:rPr>
              <w:t>e</w:t>
            </w:r>
            <w:r w:rsidR="00F43D0E" w:rsidRPr="00F43D0E">
              <w:rPr>
                <w:rFonts w:ascii="Arial" w:eastAsia="Times New Roman" w:hAnsi="Arial" w:cs="Arial"/>
                <w:sz w:val="24"/>
                <w:szCs w:val="24"/>
              </w:rPr>
              <w:t>d</w:t>
            </w:r>
            <w:r>
              <w:rPr>
                <w:rFonts w:ascii="Arial" w:eastAsia="Times New Roman" w:hAnsi="Arial" w:cs="Arial"/>
                <w:sz w:val="24"/>
                <w:szCs w:val="24"/>
              </w:rPr>
              <w:t>e</w:t>
            </w:r>
            <w:r w:rsidR="00F43D0E" w:rsidRPr="00F43D0E">
              <w:rPr>
                <w:rFonts w:ascii="Arial" w:eastAsia="Times New Roman" w:hAnsi="Arial" w:cs="Arial"/>
                <w:sz w:val="24"/>
                <w:szCs w:val="24"/>
              </w:rPr>
              <w:t xml:space="preserve"> m</w:t>
            </w:r>
            <w:r>
              <w:rPr>
                <w:rFonts w:ascii="Arial" w:eastAsia="Times New Roman" w:hAnsi="Arial" w:cs="Arial"/>
                <w:sz w:val="24"/>
                <w:szCs w:val="24"/>
              </w:rPr>
              <w:t>i</w:t>
            </w:r>
            <w:r w:rsidR="00F43D0E" w:rsidRPr="00F43D0E">
              <w:rPr>
                <w:rFonts w:ascii="Arial" w:eastAsia="Times New Roman" w:hAnsi="Arial" w:cs="Arial"/>
                <w:sz w:val="24"/>
                <w:szCs w:val="24"/>
              </w:rPr>
              <w:t>ltst</w:t>
            </w:r>
            <w:r>
              <w:rPr>
                <w:rFonts w:ascii="Arial" w:eastAsia="Times New Roman" w:hAnsi="Arial" w:cs="Arial"/>
                <w:sz w:val="24"/>
                <w:szCs w:val="24"/>
              </w:rPr>
              <w:t>ørrelse</w:t>
            </w:r>
            <w:r w:rsidR="00F43D0E" w:rsidRPr="00F43D0E">
              <w:rPr>
                <w:rFonts w:ascii="Arial" w:eastAsia="Times New Roman" w:hAnsi="Arial" w:cs="Arial"/>
                <w:sz w:val="24"/>
                <w:szCs w:val="24"/>
              </w:rPr>
              <w:t xml:space="preserve"> o</w:t>
            </w:r>
            <w:r>
              <w:rPr>
                <w:rFonts w:ascii="Arial" w:eastAsia="Times New Roman" w:hAnsi="Arial" w:cs="Arial"/>
                <w:sz w:val="24"/>
                <w:szCs w:val="24"/>
              </w:rPr>
              <w:t>g</w:t>
            </w:r>
            <w:r w:rsidR="00F43D0E" w:rsidRPr="00F43D0E">
              <w:rPr>
                <w:rFonts w:ascii="Arial" w:eastAsia="Times New Roman" w:hAnsi="Arial" w:cs="Arial"/>
                <w:sz w:val="24"/>
                <w:szCs w:val="24"/>
              </w:rPr>
              <w:t xml:space="preserve"> stig</w:t>
            </w:r>
            <w:r>
              <w:rPr>
                <w:rFonts w:ascii="Arial" w:eastAsia="Times New Roman" w:hAnsi="Arial" w:cs="Arial"/>
                <w:sz w:val="24"/>
                <w:szCs w:val="24"/>
              </w:rPr>
              <w:t>e</w:t>
            </w:r>
            <w:r w:rsidR="00F43D0E" w:rsidRPr="00F43D0E">
              <w:rPr>
                <w:rFonts w:ascii="Arial" w:eastAsia="Times New Roman" w:hAnsi="Arial" w:cs="Arial"/>
                <w:sz w:val="24"/>
                <w:szCs w:val="24"/>
              </w:rPr>
              <w:t xml:space="preserve">nde </w:t>
            </w:r>
            <w:r>
              <w:rPr>
                <w:rFonts w:ascii="Arial" w:eastAsia="Times New Roman" w:hAnsi="Arial" w:cs="Arial"/>
                <w:sz w:val="24"/>
                <w:szCs w:val="24"/>
              </w:rPr>
              <w:t>leukocytter</w:t>
            </w:r>
            <w:r w:rsidR="00F43D0E" w:rsidRPr="00F43D0E">
              <w:rPr>
                <w:rFonts w:ascii="Arial" w:eastAsia="Times New Roman" w:hAnsi="Arial" w:cs="Arial"/>
                <w:sz w:val="24"/>
                <w:szCs w:val="24"/>
              </w:rPr>
              <w:t xml:space="preserve"> som i</w:t>
            </w:r>
            <w:r w:rsidR="00E54182">
              <w:rPr>
                <w:rFonts w:ascii="Arial" w:eastAsia="Times New Roman" w:hAnsi="Arial" w:cs="Arial"/>
                <w:sz w:val="24"/>
                <w:szCs w:val="24"/>
              </w:rPr>
              <w:t>kke</w:t>
            </w:r>
            <w:r w:rsidR="00F43D0E" w:rsidRPr="00F43D0E">
              <w:rPr>
                <w:rFonts w:ascii="Arial" w:eastAsia="Times New Roman" w:hAnsi="Arial" w:cs="Arial"/>
                <w:sz w:val="24"/>
                <w:szCs w:val="24"/>
              </w:rPr>
              <w:t xml:space="preserve"> </w:t>
            </w:r>
            <w:r w:rsidR="00E54182">
              <w:rPr>
                <w:rFonts w:ascii="Arial" w:eastAsia="Times New Roman" w:hAnsi="Arial" w:cs="Arial"/>
                <w:sz w:val="24"/>
                <w:szCs w:val="24"/>
              </w:rPr>
              <w:t>responderer</w:t>
            </w:r>
            <w:r w:rsidR="00F43D0E" w:rsidRPr="00F43D0E">
              <w:rPr>
                <w:rFonts w:ascii="Arial" w:eastAsia="Times New Roman" w:hAnsi="Arial" w:cs="Arial"/>
                <w:sz w:val="24"/>
                <w:szCs w:val="24"/>
              </w:rPr>
              <w:t xml:space="preserve"> på behandling.</w:t>
            </w:r>
          </w:p>
        </w:tc>
        <w:tc>
          <w:tcPr>
            <w:tcW w:w="0" w:type="auto"/>
            <w:shd w:val="clear" w:color="auto" w:fill="auto"/>
            <w:tcMar>
              <w:top w:w="0" w:type="dxa"/>
              <w:left w:w="0" w:type="dxa"/>
              <w:bottom w:w="0" w:type="dxa"/>
              <w:right w:w="0" w:type="dxa"/>
            </w:tcMar>
            <w:vAlign w:val="center"/>
            <w:hideMark/>
          </w:tcPr>
          <w:p w14:paraId="13F4215A" w14:textId="45A720E1"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Blaster i blod eller benm</w:t>
            </w:r>
            <w:r w:rsidR="00B435C1">
              <w:rPr>
                <w:rFonts w:ascii="Arial" w:eastAsia="Times New Roman" w:hAnsi="Arial" w:cs="Arial"/>
                <w:sz w:val="24"/>
                <w:szCs w:val="24"/>
              </w:rPr>
              <w:t>a</w:t>
            </w:r>
            <w:r w:rsidRPr="00F43D0E">
              <w:rPr>
                <w:rFonts w:ascii="Arial" w:eastAsia="Times New Roman" w:hAnsi="Arial" w:cs="Arial"/>
                <w:sz w:val="24"/>
                <w:szCs w:val="24"/>
              </w:rPr>
              <w:t>rg 15–29 %.</w:t>
            </w:r>
          </w:p>
          <w:p w14:paraId="17B027EE" w14:textId="37A52A63"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Basofil</w:t>
            </w:r>
            <w:r w:rsidR="00B435C1">
              <w:rPr>
                <w:rFonts w:ascii="Arial" w:eastAsia="Times New Roman" w:hAnsi="Arial" w:cs="Arial"/>
                <w:sz w:val="24"/>
                <w:szCs w:val="24"/>
              </w:rPr>
              <w:t>e</w:t>
            </w:r>
            <w:r w:rsidRPr="00F43D0E">
              <w:rPr>
                <w:rFonts w:ascii="Arial" w:eastAsia="Times New Roman" w:hAnsi="Arial" w:cs="Arial"/>
                <w:sz w:val="24"/>
                <w:szCs w:val="24"/>
              </w:rPr>
              <w:t xml:space="preserve"> i blod ≥ 20 %.</w:t>
            </w:r>
          </w:p>
          <w:p w14:paraId="5BF88BB5" w14:textId="6553911A"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Persister</w:t>
            </w:r>
            <w:r w:rsidR="00E54182">
              <w:rPr>
                <w:rFonts w:ascii="Arial" w:eastAsia="Times New Roman" w:hAnsi="Arial" w:cs="Arial"/>
                <w:sz w:val="24"/>
                <w:szCs w:val="24"/>
              </w:rPr>
              <w:t>e</w:t>
            </w:r>
            <w:r w:rsidRPr="00F43D0E">
              <w:rPr>
                <w:rFonts w:ascii="Arial" w:eastAsia="Times New Roman" w:hAnsi="Arial" w:cs="Arial"/>
                <w:sz w:val="24"/>
                <w:szCs w:val="24"/>
              </w:rPr>
              <w:t xml:space="preserve">nde trombocytopeni (&lt; 100) </w:t>
            </w:r>
            <w:r w:rsidR="00E54182">
              <w:rPr>
                <w:rFonts w:ascii="Arial" w:eastAsia="Times New Roman" w:hAnsi="Arial" w:cs="Arial"/>
                <w:sz w:val="24"/>
                <w:szCs w:val="24"/>
              </w:rPr>
              <w:t>ikke</w:t>
            </w:r>
            <w:r w:rsidRPr="00F43D0E">
              <w:rPr>
                <w:rFonts w:ascii="Arial" w:eastAsia="Times New Roman" w:hAnsi="Arial" w:cs="Arial"/>
                <w:sz w:val="24"/>
                <w:szCs w:val="24"/>
              </w:rPr>
              <w:t xml:space="preserve"> relater</w:t>
            </w:r>
            <w:r w:rsidR="00E54182">
              <w:rPr>
                <w:rFonts w:ascii="Arial" w:eastAsia="Times New Roman" w:hAnsi="Arial" w:cs="Arial"/>
                <w:sz w:val="24"/>
                <w:szCs w:val="24"/>
              </w:rPr>
              <w:t>t</w:t>
            </w:r>
            <w:r w:rsidRPr="00F43D0E">
              <w:rPr>
                <w:rFonts w:ascii="Arial" w:eastAsia="Times New Roman" w:hAnsi="Arial" w:cs="Arial"/>
                <w:sz w:val="24"/>
                <w:szCs w:val="24"/>
              </w:rPr>
              <w:t xml:space="preserve"> til behandling.</w:t>
            </w:r>
          </w:p>
          <w:p w14:paraId="69148C12" w14:textId="3A71FE09"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Nytillkomn</w:t>
            </w:r>
            <w:r w:rsidR="00E54182">
              <w:rPr>
                <w:rFonts w:ascii="Arial" w:eastAsia="Times New Roman" w:hAnsi="Arial" w:cs="Arial"/>
                <w:sz w:val="24"/>
                <w:szCs w:val="24"/>
              </w:rPr>
              <w:t>e</w:t>
            </w:r>
            <w:r w:rsidRPr="00F43D0E">
              <w:rPr>
                <w:rFonts w:ascii="Arial" w:eastAsia="Times New Roman" w:hAnsi="Arial" w:cs="Arial"/>
                <w:sz w:val="24"/>
                <w:szCs w:val="24"/>
              </w:rPr>
              <w:t xml:space="preserve"> </w:t>
            </w:r>
            <w:r w:rsidR="002F370A" w:rsidRPr="00F43D0E">
              <w:rPr>
                <w:rFonts w:ascii="Arial" w:eastAsia="Times New Roman" w:hAnsi="Arial" w:cs="Arial"/>
                <w:sz w:val="24"/>
                <w:szCs w:val="24"/>
              </w:rPr>
              <w:t>cytogenetisk</w:t>
            </w:r>
            <w:r w:rsidR="002F370A">
              <w:rPr>
                <w:rFonts w:ascii="Arial" w:eastAsia="Times New Roman" w:hAnsi="Arial" w:cs="Arial"/>
                <w:sz w:val="24"/>
                <w:szCs w:val="24"/>
              </w:rPr>
              <w:t>e</w:t>
            </w:r>
            <w:r w:rsidR="002F370A" w:rsidRPr="00F43D0E">
              <w:rPr>
                <w:rFonts w:ascii="Arial" w:eastAsia="Times New Roman" w:hAnsi="Arial" w:cs="Arial"/>
                <w:sz w:val="24"/>
                <w:szCs w:val="24"/>
              </w:rPr>
              <w:t xml:space="preserve"> </w:t>
            </w:r>
            <w:r w:rsidRPr="00F43D0E">
              <w:rPr>
                <w:rFonts w:ascii="Arial" w:eastAsia="Times New Roman" w:hAnsi="Arial" w:cs="Arial"/>
                <w:sz w:val="24"/>
                <w:szCs w:val="24"/>
              </w:rPr>
              <w:t>avvik  under behandling.</w:t>
            </w:r>
          </w:p>
          <w:p w14:paraId="544E8F44" w14:textId="61F849BC" w:rsidR="00B435C1"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Blaster plus</w:t>
            </w:r>
            <w:r w:rsidR="00E54182">
              <w:rPr>
                <w:rFonts w:ascii="Arial" w:eastAsia="Times New Roman" w:hAnsi="Arial" w:cs="Arial"/>
                <w:sz w:val="24"/>
                <w:szCs w:val="24"/>
              </w:rPr>
              <w:t>s</w:t>
            </w:r>
            <w:r w:rsidRPr="00F43D0E">
              <w:rPr>
                <w:rFonts w:ascii="Arial" w:eastAsia="Times New Roman" w:hAnsi="Arial" w:cs="Arial"/>
                <w:sz w:val="24"/>
                <w:szCs w:val="24"/>
              </w:rPr>
              <w:t xml:space="preserve"> promyelocy</w:t>
            </w:r>
            <w:r w:rsidR="00E54182">
              <w:rPr>
                <w:rFonts w:ascii="Arial" w:eastAsia="Times New Roman" w:hAnsi="Arial" w:cs="Arial"/>
                <w:sz w:val="24"/>
                <w:szCs w:val="24"/>
              </w:rPr>
              <w:t>t</w:t>
            </w:r>
            <w:r w:rsidRPr="00F43D0E">
              <w:rPr>
                <w:rFonts w:ascii="Arial" w:eastAsia="Times New Roman" w:hAnsi="Arial" w:cs="Arial"/>
                <w:sz w:val="24"/>
                <w:szCs w:val="24"/>
              </w:rPr>
              <w:t>ter i blod eller benm</w:t>
            </w:r>
            <w:r w:rsidR="00E54182">
              <w:rPr>
                <w:rFonts w:ascii="Arial" w:eastAsia="Times New Roman" w:hAnsi="Arial" w:cs="Arial"/>
                <w:sz w:val="24"/>
                <w:szCs w:val="24"/>
              </w:rPr>
              <w:t>a</w:t>
            </w:r>
            <w:r w:rsidRPr="00F43D0E">
              <w:rPr>
                <w:rFonts w:ascii="Arial" w:eastAsia="Times New Roman" w:hAnsi="Arial" w:cs="Arial"/>
                <w:sz w:val="24"/>
                <w:szCs w:val="24"/>
              </w:rPr>
              <w:t>rg &gt; 30 %, med blaster &lt; 30 %.</w:t>
            </w:r>
          </w:p>
        </w:tc>
      </w:tr>
      <w:tr w:rsidR="00F43D0E" w:rsidRPr="00F43D0E" w14:paraId="00EAA6BC" w14:textId="77777777" w:rsidTr="00F43D0E">
        <w:tc>
          <w:tcPr>
            <w:tcW w:w="0" w:type="auto"/>
            <w:gridSpan w:val="2"/>
            <w:shd w:val="clear" w:color="auto" w:fill="auto"/>
            <w:tcMar>
              <w:top w:w="0" w:type="dxa"/>
              <w:left w:w="0" w:type="dxa"/>
              <w:bottom w:w="0" w:type="dxa"/>
              <w:right w:w="0" w:type="dxa"/>
            </w:tcMar>
            <w:vAlign w:val="center"/>
            <w:hideMark/>
          </w:tcPr>
          <w:p w14:paraId="4093CB4A" w14:textId="16E0AF38" w:rsidR="00B435C1" w:rsidRPr="00F43D0E" w:rsidRDefault="00F43D0E" w:rsidP="002F370A">
            <w:pPr>
              <w:widowControl w:val="0"/>
              <w:spacing w:after="0" w:line="240" w:lineRule="auto"/>
              <w:ind w:left="567"/>
              <w:rPr>
                <w:rFonts w:ascii="Arial" w:eastAsia="Times New Roman" w:hAnsi="Arial" w:cs="Arial"/>
                <w:sz w:val="24"/>
                <w:szCs w:val="24"/>
              </w:rPr>
            </w:pPr>
            <w:r w:rsidRPr="00F43D0E">
              <w:rPr>
                <w:rFonts w:ascii="Arial" w:eastAsia="Times New Roman" w:hAnsi="Arial" w:cs="Arial"/>
                <w:b/>
                <w:bCs/>
                <w:sz w:val="24"/>
                <w:szCs w:val="24"/>
              </w:rPr>
              <w:t>Blastkris</w:t>
            </w:r>
            <w:r w:rsidR="00E54182">
              <w:rPr>
                <w:rFonts w:ascii="Arial" w:eastAsia="Times New Roman" w:hAnsi="Arial" w:cs="Arial"/>
                <w:b/>
                <w:bCs/>
                <w:sz w:val="24"/>
                <w:szCs w:val="24"/>
              </w:rPr>
              <w:t>e</w:t>
            </w:r>
            <w:r w:rsidRPr="00F43D0E">
              <w:rPr>
                <w:rFonts w:ascii="Arial" w:eastAsia="Times New Roman" w:hAnsi="Arial" w:cs="Arial"/>
                <w:b/>
                <w:bCs/>
                <w:sz w:val="24"/>
                <w:szCs w:val="24"/>
              </w:rPr>
              <w:t xml:space="preserve"> (B</w:t>
            </w:r>
            <w:r w:rsidR="002F370A">
              <w:rPr>
                <w:rFonts w:ascii="Arial" w:eastAsia="Times New Roman" w:hAnsi="Arial" w:cs="Arial"/>
                <w:b/>
                <w:bCs/>
                <w:sz w:val="24"/>
                <w:szCs w:val="24"/>
              </w:rPr>
              <w:t>P</w:t>
            </w:r>
            <w:r w:rsidRPr="00F43D0E">
              <w:rPr>
                <w:rFonts w:ascii="Arial" w:eastAsia="Times New Roman" w:hAnsi="Arial" w:cs="Arial"/>
                <w:b/>
                <w:bCs/>
                <w:sz w:val="24"/>
                <w:szCs w:val="24"/>
              </w:rPr>
              <w:t>, blast</w:t>
            </w:r>
            <w:r w:rsidR="00DB6743">
              <w:rPr>
                <w:rFonts w:ascii="Arial" w:eastAsia="Times New Roman" w:hAnsi="Arial" w:cs="Arial"/>
                <w:b/>
                <w:bCs/>
                <w:sz w:val="24"/>
                <w:szCs w:val="24"/>
              </w:rPr>
              <w:t xml:space="preserve"> ph</w:t>
            </w:r>
            <w:r w:rsidR="002F370A">
              <w:rPr>
                <w:rFonts w:ascii="Arial" w:eastAsia="Times New Roman" w:hAnsi="Arial" w:cs="Arial"/>
                <w:b/>
                <w:bCs/>
                <w:sz w:val="24"/>
                <w:szCs w:val="24"/>
              </w:rPr>
              <w:t>ase</w:t>
            </w:r>
            <w:r w:rsidRPr="00F43D0E">
              <w:rPr>
                <w:rFonts w:ascii="Arial" w:eastAsia="Times New Roman" w:hAnsi="Arial" w:cs="Arial"/>
                <w:b/>
                <w:bCs/>
                <w:sz w:val="24"/>
                <w:szCs w:val="24"/>
              </w:rPr>
              <w:t>)</w:t>
            </w:r>
          </w:p>
        </w:tc>
      </w:tr>
      <w:tr w:rsidR="00B435C1" w:rsidRPr="00F43D0E" w14:paraId="6F835DCC" w14:textId="77777777" w:rsidTr="00F43D0E">
        <w:tc>
          <w:tcPr>
            <w:tcW w:w="0" w:type="auto"/>
            <w:shd w:val="clear" w:color="auto" w:fill="auto"/>
            <w:tcMar>
              <w:top w:w="0" w:type="dxa"/>
              <w:left w:w="0" w:type="dxa"/>
              <w:bottom w:w="0" w:type="dxa"/>
              <w:right w:w="0" w:type="dxa"/>
            </w:tcMar>
            <w:vAlign w:val="center"/>
            <w:hideMark/>
          </w:tcPr>
          <w:p w14:paraId="450B2D66" w14:textId="0DE76B9A"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Blaster i blod eller benm</w:t>
            </w:r>
            <w:r w:rsidR="00E54182">
              <w:rPr>
                <w:rFonts w:ascii="Arial" w:eastAsia="Times New Roman" w:hAnsi="Arial" w:cs="Arial"/>
                <w:sz w:val="24"/>
                <w:szCs w:val="24"/>
              </w:rPr>
              <w:t>a</w:t>
            </w:r>
            <w:r w:rsidRPr="00F43D0E">
              <w:rPr>
                <w:rFonts w:ascii="Arial" w:eastAsia="Times New Roman" w:hAnsi="Arial" w:cs="Arial"/>
                <w:sz w:val="24"/>
                <w:szCs w:val="24"/>
              </w:rPr>
              <w:t>rg ≥ 20 %. </w:t>
            </w:r>
          </w:p>
          <w:p w14:paraId="58D97740" w14:textId="4C4034CE"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Extramedull</w:t>
            </w:r>
            <w:r w:rsidR="00E54182">
              <w:rPr>
                <w:rFonts w:ascii="Arial" w:eastAsia="Times New Roman" w:hAnsi="Arial" w:cs="Arial"/>
                <w:sz w:val="24"/>
                <w:szCs w:val="24"/>
              </w:rPr>
              <w:t>æ</w:t>
            </w:r>
            <w:r w:rsidRPr="00F43D0E">
              <w:rPr>
                <w:rFonts w:ascii="Arial" w:eastAsia="Times New Roman" w:hAnsi="Arial" w:cs="Arial"/>
                <w:sz w:val="24"/>
                <w:szCs w:val="24"/>
              </w:rPr>
              <w:t>r blastproliferation (</w:t>
            </w:r>
            <w:r w:rsidR="00E54182">
              <w:rPr>
                <w:rFonts w:ascii="Arial" w:eastAsia="Times New Roman" w:hAnsi="Arial" w:cs="Arial"/>
                <w:sz w:val="24"/>
                <w:szCs w:val="24"/>
              </w:rPr>
              <w:t>ikke</w:t>
            </w:r>
            <w:r w:rsidRPr="00F43D0E">
              <w:rPr>
                <w:rFonts w:ascii="Arial" w:eastAsia="Times New Roman" w:hAnsi="Arial" w:cs="Arial"/>
                <w:sz w:val="24"/>
                <w:szCs w:val="24"/>
              </w:rPr>
              <w:t xml:space="preserve"> i m</w:t>
            </w:r>
            <w:r w:rsidR="00E54182">
              <w:rPr>
                <w:rFonts w:ascii="Arial" w:eastAsia="Times New Roman" w:hAnsi="Arial" w:cs="Arial"/>
                <w:sz w:val="24"/>
                <w:szCs w:val="24"/>
              </w:rPr>
              <w:t>ilten</w:t>
            </w:r>
            <w:r w:rsidRPr="00F43D0E">
              <w:rPr>
                <w:rFonts w:ascii="Arial" w:eastAsia="Times New Roman" w:hAnsi="Arial" w:cs="Arial"/>
                <w:sz w:val="24"/>
                <w:szCs w:val="24"/>
              </w:rPr>
              <w:t>).</w:t>
            </w:r>
          </w:p>
          <w:p w14:paraId="29C0A559" w14:textId="69A4DEB2" w:rsidR="00B435C1"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Stor</w:t>
            </w:r>
            <w:r w:rsidR="00E54182">
              <w:rPr>
                <w:rFonts w:ascii="Arial" w:eastAsia="Times New Roman" w:hAnsi="Arial" w:cs="Arial"/>
                <w:sz w:val="24"/>
                <w:szCs w:val="24"/>
              </w:rPr>
              <w:t>e</w:t>
            </w:r>
            <w:r w:rsidRPr="00F43D0E">
              <w:rPr>
                <w:rFonts w:ascii="Arial" w:eastAsia="Times New Roman" w:hAnsi="Arial" w:cs="Arial"/>
                <w:sz w:val="24"/>
                <w:szCs w:val="24"/>
              </w:rPr>
              <w:t xml:space="preserve"> foci eller </w:t>
            </w:r>
            <w:r w:rsidR="00E54182">
              <w:rPr>
                <w:rFonts w:ascii="Arial" w:eastAsia="Times New Roman" w:hAnsi="Arial" w:cs="Arial"/>
                <w:sz w:val="24"/>
                <w:szCs w:val="24"/>
              </w:rPr>
              <w:t>aggregater</w:t>
            </w:r>
            <w:r w:rsidRPr="00F43D0E">
              <w:rPr>
                <w:rFonts w:ascii="Arial" w:eastAsia="Times New Roman" w:hAnsi="Arial" w:cs="Arial"/>
                <w:sz w:val="24"/>
                <w:szCs w:val="24"/>
              </w:rPr>
              <w:t xml:space="preserve"> av blaster i m</w:t>
            </w:r>
            <w:r w:rsidR="00E54182">
              <w:rPr>
                <w:rFonts w:ascii="Arial" w:eastAsia="Times New Roman" w:hAnsi="Arial" w:cs="Arial"/>
                <w:sz w:val="24"/>
                <w:szCs w:val="24"/>
              </w:rPr>
              <w:t>a</w:t>
            </w:r>
            <w:r w:rsidRPr="00F43D0E">
              <w:rPr>
                <w:rFonts w:ascii="Arial" w:eastAsia="Times New Roman" w:hAnsi="Arial" w:cs="Arial"/>
                <w:sz w:val="24"/>
                <w:szCs w:val="24"/>
              </w:rPr>
              <w:t>rgen.</w:t>
            </w:r>
          </w:p>
        </w:tc>
        <w:tc>
          <w:tcPr>
            <w:tcW w:w="0" w:type="auto"/>
            <w:shd w:val="clear" w:color="auto" w:fill="auto"/>
            <w:tcMar>
              <w:top w:w="0" w:type="dxa"/>
              <w:left w:w="0" w:type="dxa"/>
              <w:bottom w:w="0" w:type="dxa"/>
              <w:right w:w="0" w:type="dxa"/>
            </w:tcMar>
            <w:vAlign w:val="center"/>
            <w:hideMark/>
          </w:tcPr>
          <w:p w14:paraId="5E940BAA" w14:textId="75004C0C" w:rsidR="00F43D0E" w:rsidRPr="00F43D0E" w:rsidRDefault="00F43D0E" w:rsidP="00F43D0E">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Blaster i blod eller benm</w:t>
            </w:r>
            <w:r w:rsidR="00E54182">
              <w:rPr>
                <w:rFonts w:ascii="Arial" w:eastAsia="Times New Roman" w:hAnsi="Arial" w:cs="Arial"/>
                <w:sz w:val="24"/>
                <w:szCs w:val="24"/>
              </w:rPr>
              <w:t>a</w:t>
            </w:r>
            <w:r w:rsidRPr="00F43D0E">
              <w:rPr>
                <w:rFonts w:ascii="Arial" w:eastAsia="Times New Roman" w:hAnsi="Arial" w:cs="Arial"/>
                <w:sz w:val="24"/>
                <w:szCs w:val="24"/>
              </w:rPr>
              <w:t>rg ≥ 30 %.</w:t>
            </w:r>
          </w:p>
          <w:p w14:paraId="70906BC5" w14:textId="68C8A75A" w:rsidR="00B435C1" w:rsidRPr="00F43D0E" w:rsidRDefault="00F43D0E" w:rsidP="00E54182">
            <w:pPr>
              <w:widowControl w:val="0"/>
              <w:spacing w:after="0" w:line="240" w:lineRule="auto"/>
              <w:ind w:left="567"/>
              <w:rPr>
                <w:rFonts w:ascii="Arial" w:eastAsia="Times New Roman" w:hAnsi="Arial" w:cs="Arial"/>
                <w:sz w:val="24"/>
                <w:szCs w:val="24"/>
              </w:rPr>
            </w:pPr>
            <w:r w:rsidRPr="00F43D0E">
              <w:rPr>
                <w:rFonts w:ascii="Arial" w:eastAsia="Times New Roman" w:hAnsi="Arial" w:cs="Arial"/>
                <w:sz w:val="24"/>
                <w:szCs w:val="24"/>
              </w:rPr>
              <w:t>Extramedull</w:t>
            </w:r>
            <w:r w:rsidR="00E54182">
              <w:rPr>
                <w:rFonts w:ascii="Arial" w:eastAsia="Times New Roman" w:hAnsi="Arial" w:cs="Arial"/>
                <w:sz w:val="24"/>
                <w:szCs w:val="24"/>
              </w:rPr>
              <w:t>æ</w:t>
            </w:r>
            <w:r w:rsidRPr="00F43D0E">
              <w:rPr>
                <w:rFonts w:ascii="Arial" w:eastAsia="Times New Roman" w:hAnsi="Arial" w:cs="Arial"/>
                <w:sz w:val="24"/>
                <w:szCs w:val="24"/>
              </w:rPr>
              <w:t>r blastproliferation (</w:t>
            </w:r>
            <w:r w:rsidR="00E54182">
              <w:rPr>
                <w:rFonts w:ascii="Arial" w:eastAsia="Times New Roman" w:hAnsi="Arial" w:cs="Arial"/>
                <w:sz w:val="24"/>
                <w:szCs w:val="24"/>
              </w:rPr>
              <w:t>ikke</w:t>
            </w:r>
            <w:r w:rsidRPr="00F43D0E">
              <w:rPr>
                <w:rFonts w:ascii="Arial" w:eastAsia="Times New Roman" w:hAnsi="Arial" w:cs="Arial"/>
                <w:sz w:val="24"/>
                <w:szCs w:val="24"/>
              </w:rPr>
              <w:t xml:space="preserve"> i m</w:t>
            </w:r>
            <w:r w:rsidR="00E54182">
              <w:rPr>
                <w:rFonts w:ascii="Arial" w:eastAsia="Times New Roman" w:hAnsi="Arial" w:cs="Arial"/>
                <w:sz w:val="24"/>
                <w:szCs w:val="24"/>
              </w:rPr>
              <w:t>i</w:t>
            </w:r>
            <w:r w:rsidRPr="00F43D0E">
              <w:rPr>
                <w:rFonts w:ascii="Arial" w:eastAsia="Times New Roman" w:hAnsi="Arial" w:cs="Arial"/>
                <w:sz w:val="24"/>
                <w:szCs w:val="24"/>
              </w:rPr>
              <w:t>lte</w:t>
            </w:r>
            <w:r w:rsidR="00E54182">
              <w:rPr>
                <w:rFonts w:ascii="Arial" w:eastAsia="Times New Roman" w:hAnsi="Arial" w:cs="Arial"/>
                <w:sz w:val="24"/>
                <w:szCs w:val="24"/>
              </w:rPr>
              <w:t>n</w:t>
            </w:r>
            <w:r w:rsidRPr="00F43D0E">
              <w:rPr>
                <w:rFonts w:ascii="Arial" w:eastAsia="Times New Roman" w:hAnsi="Arial" w:cs="Arial"/>
                <w:sz w:val="24"/>
                <w:szCs w:val="24"/>
              </w:rPr>
              <w:t>).</w:t>
            </w:r>
          </w:p>
        </w:tc>
      </w:tr>
      <w:tr w:rsidR="00B2752D" w:rsidRPr="00F43D0E" w14:paraId="1BDFED8F" w14:textId="77777777" w:rsidTr="00F43D0E">
        <w:tc>
          <w:tcPr>
            <w:tcW w:w="0" w:type="auto"/>
            <w:shd w:val="clear" w:color="auto" w:fill="auto"/>
            <w:tcMar>
              <w:top w:w="0" w:type="dxa"/>
              <w:left w:w="0" w:type="dxa"/>
              <w:bottom w:w="0" w:type="dxa"/>
              <w:right w:w="0" w:type="dxa"/>
            </w:tcMar>
            <w:vAlign w:val="center"/>
          </w:tcPr>
          <w:p w14:paraId="031E4701" w14:textId="77777777" w:rsidR="00B2752D" w:rsidRPr="00F43D0E" w:rsidRDefault="00B2752D" w:rsidP="00F43D0E">
            <w:pPr>
              <w:widowControl w:val="0"/>
              <w:spacing w:after="0" w:line="240" w:lineRule="auto"/>
              <w:ind w:left="567"/>
              <w:rPr>
                <w:rFonts w:ascii="Arial" w:eastAsia="Times New Roman" w:hAnsi="Arial" w:cs="Arial"/>
                <w:sz w:val="24"/>
                <w:szCs w:val="24"/>
              </w:rPr>
            </w:pPr>
          </w:p>
        </w:tc>
        <w:tc>
          <w:tcPr>
            <w:tcW w:w="0" w:type="auto"/>
            <w:shd w:val="clear" w:color="auto" w:fill="auto"/>
            <w:tcMar>
              <w:top w:w="0" w:type="dxa"/>
              <w:left w:w="0" w:type="dxa"/>
              <w:bottom w:w="0" w:type="dxa"/>
              <w:right w:w="0" w:type="dxa"/>
            </w:tcMar>
            <w:vAlign w:val="center"/>
          </w:tcPr>
          <w:p w14:paraId="3B969BB3" w14:textId="77777777" w:rsidR="00B2752D" w:rsidRPr="00F43D0E" w:rsidRDefault="00B2752D" w:rsidP="00F43D0E">
            <w:pPr>
              <w:widowControl w:val="0"/>
              <w:spacing w:after="0" w:line="240" w:lineRule="auto"/>
              <w:ind w:left="567"/>
              <w:rPr>
                <w:rFonts w:ascii="Arial" w:eastAsia="Times New Roman" w:hAnsi="Arial" w:cs="Arial"/>
                <w:sz w:val="24"/>
                <w:szCs w:val="24"/>
              </w:rPr>
            </w:pPr>
          </w:p>
        </w:tc>
      </w:tr>
    </w:tbl>
    <w:p w14:paraId="6FE2FA99" w14:textId="7F264611"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 xml:space="preserve">Vi velger å benytte </w:t>
      </w:r>
      <w:r w:rsidR="00F43D0E">
        <w:rPr>
          <w:rFonts w:ascii="Arial" w:eastAsia="Times New Roman" w:hAnsi="Arial" w:cs="Arial"/>
          <w:sz w:val="24"/>
          <w:szCs w:val="24"/>
        </w:rPr>
        <w:t>ELN kriteriene</w:t>
      </w:r>
      <w:r w:rsidRPr="006F15EF">
        <w:rPr>
          <w:rFonts w:ascii="Arial" w:eastAsia="Times New Roman" w:hAnsi="Arial" w:cs="Arial"/>
          <w:sz w:val="24"/>
          <w:szCs w:val="24"/>
        </w:rPr>
        <w:t xml:space="preserve"> fordi disse er anvendt framfor WHO-kriteriene i de fleste publiserte studiene som vurderer behandlingseffekter av </w:t>
      </w:r>
      <w:r w:rsidR="00B2752D">
        <w:rPr>
          <w:rFonts w:ascii="Arial" w:eastAsia="Times New Roman" w:hAnsi="Arial" w:cs="Arial"/>
          <w:sz w:val="24"/>
          <w:szCs w:val="24"/>
        </w:rPr>
        <w:t>TKI</w:t>
      </w:r>
      <w:r w:rsidRPr="006F15EF">
        <w:rPr>
          <w:rFonts w:ascii="Arial" w:eastAsia="Times New Roman" w:hAnsi="Arial" w:cs="Arial"/>
          <w:sz w:val="24"/>
          <w:szCs w:val="24"/>
        </w:rPr>
        <w:t xml:space="preserve">. </w:t>
      </w:r>
    </w:p>
    <w:p w14:paraId="29FCC32B" w14:textId="77777777" w:rsidR="006F15EF" w:rsidRPr="006F15EF" w:rsidRDefault="006F15EF" w:rsidP="006F15EF">
      <w:pPr>
        <w:widowControl w:val="0"/>
        <w:spacing w:after="0" w:line="240" w:lineRule="auto"/>
        <w:ind w:left="567"/>
        <w:rPr>
          <w:rFonts w:ascii="Arial" w:eastAsia="Times New Roman" w:hAnsi="Arial" w:cs="Arial"/>
          <w:b/>
          <w:bCs/>
          <w:sz w:val="24"/>
          <w:szCs w:val="24"/>
        </w:rPr>
      </w:pPr>
    </w:p>
    <w:p w14:paraId="60D820A9" w14:textId="77777777"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Hematologisk respons (HR)</w:t>
      </w:r>
      <w:r w:rsidRPr="006F15EF">
        <w:rPr>
          <w:rFonts w:ascii="Arial" w:eastAsia="Times New Roman" w:hAnsi="Arial" w:cs="Arial"/>
          <w:sz w:val="24"/>
          <w:szCs w:val="24"/>
        </w:rPr>
        <w:t xml:space="preserve"> forutsetter Hb &gt;11 g/dl, leukocytter innenfor referanseområdet med &lt; 5 % metamyelocytter og stavkjernede nøytrofile granulocytter, ingen blaster i blod, normalt blodplatetall, ikke palpabel milt. </w:t>
      </w:r>
    </w:p>
    <w:p w14:paraId="5E69DDA4" w14:textId="77777777" w:rsidR="006F15EF" w:rsidRPr="006F15EF" w:rsidRDefault="006F15EF" w:rsidP="006F15EF">
      <w:pPr>
        <w:widowControl w:val="0"/>
        <w:spacing w:after="0" w:line="240" w:lineRule="auto"/>
        <w:ind w:left="567"/>
        <w:rPr>
          <w:rFonts w:ascii="Arial" w:eastAsia="Times New Roman" w:hAnsi="Arial" w:cs="Arial"/>
          <w:b/>
          <w:bCs/>
          <w:sz w:val="24"/>
          <w:szCs w:val="24"/>
        </w:rPr>
      </w:pPr>
    </w:p>
    <w:p w14:paraId="1E68CC26" w14:textId="521D263B"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Cytogenetisk respons (CgR)</w:t>
      </w:r>
      <w:r w:rsidRPr="006F15EF">
        <w:rPr>
          <w:rFonts w:ascii="Arial" w:eastAsia="Times New Roman" w:hAnsi="Arial" w:cs="Arial"/>
          <w:sz w:val="24"/>
          <w:szCs w:val="24"/>
        </w:rPr>
        <w:t xml:space="preserve"> kan være komplett (0 % Ph positive metafaser, CCgR), partiell (1-35 % Ph positive metafaser, PCgR) eller minor (36-65 % Ph positive metafaser, mCgR). Begrepet ”major” cytogenetisk respons (MCgR) omfatter både komplett og partiell respons. Ved RT-qPCR motsvarer CCgR ca 1% og 35% Ph+ metafaser ca 10%</w:t>
      </w:r>
      <w:r w:rsidR="003B5984">
        <w:rPr>
          <w:rFonts w:ascii="Arial" w:eastAsia="Times New Roman" w:hAnsi="Arial" w:cs="Arial"/>
          <w:sz w:val="24"/>
          <w:szCs w:val="24"/>
        </w:rPr>
        <w:t>. I</w:t>
      </w:r>
      <w:r w:rsidRPr="006F15EF">
        <w:rPr>
          <w:rFonts w:ascii="Arial" w:eastAsia="Times New Roman" w:hAnsi="Arial" w:cs="Arial"/>
          <w:sz w:val="24"/>
          <w:szCs w:val="24"/>
        </w:rPr>
        <w:t xml:space="preserve"> </w:t>
      </w:r>
      <w:r w:rsidR="003B5984">
        <w:rPr>
          <w:rFonts w:ascii="Arial" w:eastAsia="Times New Roman" w:hAnsi="Arial" w:cs="Arial"/>
          <w:sz w:val="24"/>
          <w:szCs w:val="24"/>
        </w:rPr>
        <w:t xml:space="preserve">ELN 2020 retningslinjer erstattes nå karyotypering som responsparameter med RT-qPCR, men veldig stor del av KML-litteraturen er basert på cytogenetisk respons. Tilleggsavik i karyotype er en del av </w:t>
      </w:r>
      <w:r w:rsidR="003B5984">
        <w:rPr>
          <w:rFonts w:ascii="Arial" w:eastAsia="Times New Roman" w:hAnsi="Arial" w:cs="Arial"/>
          <w:sz w:val="24"/>
          <w:szCs w:val="24"/>
        </w:rPr>
        <w:lastRenderedPageBreak/>
        <w:t xml:space="preserve">risikovurderingen ved diagnose </w:t>
      </w:r>
      <w:r w:rsidR="005E067C">
        <w:rPr>
          <w:rFonts w:ascii="Arial" w:eastAsia="Times New Roman" w:hAnsi="Arial" w:cs="Arial"/>
          <w:sz w:val="24"/>
          <w:szCs w:val="24"/>
        </w:rPr>
        <w:t>og ved behandlingssvikt. Karyotypering skal gjøres ved diagnose og ved behandlingssvikt.</w:t>
      </w:r>
      <w:r w:rsidR="003B5984">
        <w:rPr>
          <w:rFonts w:ascii="Arial" w:eastAsia="Times New Roman" w:hAnsi="Arial" w:cs="Arial"/>
          <w:sz w:val="24"/>
          <w:szCs w:val="24"/>
        </w:rPr>
        <w:t xml:space="preserve"> </w:t>
      </w:r>
    </w:p>
    <w:p w14:paraId="356C930A" w14:textId="77777777" w:rsidR="006F15EF" w:rsidRPr="006F15EF" w:rsidRDefault="006F15EF" w:rsidP="006F15EF">
      <w:pPr>
        <w:widowControl w:val="0"/>
        <w:spacing w:after="0" w:line="240" w:lineRule="auto"/>
        <w:ind w:left="567"/>
        <w:rPr>
          <w:rFonts w:ascii="Arial" w:eastAsia="Times New Roman" w:hAnsi="Arial" w:cs="Arial"/>
          <w:b/>
          <w:bCs/>
          <w:sz w:val="24"/>
          <w:szCs w:val="24"/>
        </w:rPr>
      </w:pPr>
    </w:p>
    <w:p w14:paraId="57603E7E" w14:textId="43508917"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Molekylær respons (MR):</w:t>
      </w:r>
      <w:r w:rsidRPr="006F15EF">
        <w:rPr>
          <w:rFonts w:ascii="Arial" w:eastAsia="Times New Roman" w:hAnsi="Arial" w:cs="Arial"/>
          <w:sz w:val="24"/>
          <w:szCs w:val="24"/>
        </w:rPr>
        <w:t xml:space="preserve"> Måling av RT-qPCR for BCR-ABL-transkriptet må brukes for høysensitiv kvantifisering av </w:t>
      </w:r>
      <w:r w:rsidR="00A309E0">
        <w:rPr>
          <w:rFonts w:ascii="Arial" w:eastAsia="Times New Roman" w:hAnsi="Arial" w:cs="Arial"/>
          <w:sz w:val="24"/>
          <w:szCs w:val="24"/>
        </w:rPr>
        <w:t>målbar</w:t>
      </w:r>
      <w:r w:rsidR="00A309E0" w:rsidRPr="006F15EF">
        <w:rPr>
          <w:rFonts w:ascii="Arial" w:eastAsia="Times New Roman" w:hAnsi="Arial" w:cs="Arial"/>
          <w:sz w:val="24"/>
          <w:szCs w:val="24"/>
        </w:rPr>
        <w:t xml:space="preserve"> </w:t>
      </w:r>
      <w:r w:rsidRPr="006F15EF">
        <w:rPr>
          <w:rFonts w:ascii="Arial" w:eastAsia="Times New Roman" w:hAnsi="Arial" w:cs="Arial"/>
          <w:sz w:val="24"/>
          <w:szCs w:val="24"/>
        </w:rPr>
        <w:t xml:space="preserve">restsykdom (MRD). Svaret angis som </w:t>
      </w:r>
      <w:r w:rsidR="00277299">
        <w:rPr>
          <w:rFonts w:ascii="Arial" w:eastAsia="Times New Roman" w:hAnsi="Arial" w:cs="Arial"/>
          <w:sz w:val="24"/>
          <w:szCs w:val="24"/>
        </w:rPr>
        <w:t>antall</w:t>
      </w:r>
      <w:r w:rsidRPr="006F15EF">
        <w:rPr>
          <w:rFonts w:ascii="Arial" w:eastAsia="Times New Roman" w:hAnsi="Arial" w:cs="Arial"/>
          <w:sz w:val="24"/>
          <w:szCs w:val="24"/>
        </w:rPr>
        <w:t xml:space="preserve"> BCR-ABL transkripter dividert med </w:t>
      </w:r>
      <w:r w:rsidR="00277299">
        <w:rPr>
          <w:rFonts w:ascii="Arial" w:eastAsia="Times New Roman" w:hAnsi="Arial" w:cs="Arial"/>
          <w:sz w:val="24"/>
          <w:szCs w:val="24"/>
        </w:rPr>
        <w:t>antall</w:t>
      </w:r>
      <w:r w:rsidRPr="006F15EF">
        <w:rPr>
          <w:rFonts w:ascii="Arial" w:eastAsia="Times New Roman" w:hAnsi="Arial" w:cs="Arial"/>
          <w:sz w:val="24"/>
          <w:szCs w:val="24"/>
        </w:rPr>
        <w:t xml:space="preserve"> transkripter av et kontrollgen (</w:t>
      </w:r>
      <w:r w:rsidR="005E067C">
        <w:rPr>
          <w:rFonts w:ascii="Arial" w:eastAsia="Times New Roman" w:hAnsi="Arial" w:cs="Arial"/>
          <w:sz w:val="24"/>
          <w:szCs w:val="24"/>
        </w:rPr>
        <w:t>ved</w:t>
      </w:r>
      <w:r w:rsidRPr="006F15EF">
        <w:rPr>
          <w:rFonts w:ascii="Arial" w:eastAsia="Times New Roman" w:hAnsi="Arial" w:cs="Arial"/>
          <w:sz w:val="24"/>
          <w:szCs w:val="24"/>
        </w:rPr>
        <w:t xml:space="preserve"> OUS</w:t>
      </w:r>
      <w:r w:rsidR="005E067C">
        <w:rPr>
          <w:rFonts w:ascii="Arial" w:eastAsia="Times New Roman" w:hAnsi="Arial" w:cs="Arial"/>
          <w:sz w:val="24"/>
          <w:szCs w:val="24"/>
        </w:rPr>
        <w:t xml:space="preserve"> lab.</w:t>
      </w:r>
      <w:r w:rsidR="00A309E0" w:rsidRPr="006F15EF">
        <w:rPr>
          <w:rFonts w:ascii="Arial" w:eastAsia="Times New Roman" w:hAnsi="Arial" w:cs="Arial"/>
          <w:sz w:val="24"/>
          <w:szCs w:val="24"/>
        </w:rPr>
        <w:t xml:space="preserve"> </w:t>
      </w:r>
      <w:r w:rsidRPr="006F15EF">
        <w:rPr>
          <w:rFonts w:ascii="Arial" w:eastAsia="Times New Roman" w:hAnsi="Arial" w:cs="Arial"/>
          <w:sz w:val="24"/>
          <w:szCs w:val="24"/>
        </w:rPr>
        <w:t xml:space="preserve">er det </w:t>
      </w:r>
      <w:r w:rsidR="00B5117C">
        <w:rPr>
          <w:rFonts w:ascii="Arial" w:eastAsia="Times New Roman" w:hAnsi="Arial" w:cs="Arial"/>
          <w:sz w:val="24"/>
          <w:szCs w:val="24"/>
        </w:rPr>
        <w:t>GUS</w:t>
      </w:r>
      <w:r w:rsidRPr="006F15EF">
        <w:rPr>
          <w:rFonts w:ascii="Arial" w:eastAsia="Times New Roman" w:hAnsi="Arial" w:cs="Arial"/>
          <w:sz w:val="24"/>
          <w:szCs w:val="24"/>
        </w:rPr>
        <w:t xml:space="preserve">) </w:t>
      </w:r>
      <w:r w:rsidR="00277299">
        <w:rPr>
          <w:rFonts w:ascii="Arial" w:eastAsia="Times New Roman" w:hAnsi="Arial" w:cs="Arial"/>
          <w:sz w:val="24"/>
          <w:szCs w:val="24"/>
        </w:rPr>
        <w:t xml:space="preserve">uttrykt </w:t>
      </w:r>
      <w:r w:rsidRPr="006F15EF">
        <w:rPr>
          <w:rFonts w:ascii="Arial" w:eastAsia="Times New Roman" w:hAnsi="Arial" w:cs="Arial"/>
          <w:sz w:val="24"/>
          <w:szCs w:val="24"/>
        </w:rPr>
        <w:t xml:space="preserve">som prosent. </w:t>
      </w:r>
      <w:r w:rsidR="00277299" w:rsidRPr="006F15EF">
        <w:rPr>
          <w:rFonts w:ascii="Arial" w:eastAsia="Times New Roman" w:hAnsi="Arial" w:cs="Arial"/>
          <w:sz w:val="24"/>
          <w:szCs w:val="24"/>
        </w:rPr>
        <w:t>Det understrekes at utgangspunktet (100 %) ikke er den enkelte pasients diagnoseverdi</w:t>
      </w:r>
      <w:r w:rsidR="00277299">
        <w:rPr>
          <w:rFonts w:ascii="Arial" w:eastAsia="Times New Roman" w:hAnsi="Arial" w:cs="Arial"/>
          <w:sz w:val="24"/>
          <w:szCs w:val="24"/>
        </w:rPr>
        <w:t>, men gjennomsnittet av en standardpopulasjon og uttrykkes på</w:t>
      </w:r>
      <w:r w:rsidR="00277299" w:rsidRPr="006F15EF">
        <w:rPr>
          <w:rFonts w:ascii="Arial" w:eastAsia="Times New Roman" w:hAnsi="Arial" w:cs="Arial"/>
          <w:sz w:val="24"/>
          <w:szCs w:val="24"/>
        </w:rPr>
        <w:t xml:space="preserve"> en internasjonal skala (IS), slik at resultater verden over skal bli sammenlignbare </w:t>
      </w:r>
      <w:r w:rsidR="00277299" w:rsidRPr="006F15EF">
        <w:rPr>
          <w:rFonts w:ascii="Arial" w:eastAsia="Times New Roman" w:hAnsi="Arial" w:cs="Arial"/>
          <w:noProof/>
          <w:sz w:val="24"/>
          <w:szCs w:val="24"/>
        </w:rPr>
        <w:t>(5)</w:t>
      </w:r>
      <w:r w:rsidR="00277299" w:rsidRPr="006F15EF">
        <w:rPr>
          <w:rFonts w:ascii="Arial" w:eastAsia="Times New Roman" w:hAnsi="Arial" w:cs="Arial"/>
          <w:sz w:val="24"/>
          <w:szCs w:val="24"/>
        </w:rPr>
        <w:t>.</w:t>
      </w:r>
      <w:r w:rsidR="00DB6743">
        <w:rPr>
          <w:rFonts w:ascii="Arial" w:eastAsia="Times New Roman" w:hAnsi="Arial" w:cs="Arial"/>
          <w:sz w:val="24"/>
          <w:szCs w:val="24"/>
        </w:rPr>
        <w:t xml:space="preserve"> </w:t>
      </w:r>
      <w:r w:rsidRPr="006F15EF">
        <w:rPr>
          <w:rFonts w:ascii="Arial" w:eastAsia="Times New Roman" w:hAnsi="Arial" w:cs="Arial"/>
          <w:sz w:val="24"/>
          <w:szCs w:val="24"/>
        </w:rPr>
        <w:t xml:space="preserve">Det er en forutsetning for klinisk bruk av analysesvar at laboratoriet deltar i internasjonale kvalitetskontroller med akseptable resultater. Begrepet ”major molekylær remisjon” (MMR) benyttes dersom mengden transkript er redusert med 3 log (tilsvarende &gt;1000 ganger reduksjon) tilsvarer &lt; 0,10 % og </w:t>
      </w:r>
      <w:r w:rsidRPr="006F15EF">
        <w:rPr>
          <w:rFonts w:ascii="Arial" w:eastAsia="Times New Roman" w:hAnsi="Arial" w:cs="Arial"/>
          <w:i/>
          <w:iCs/>
          <w:sz w:val="24"/>
          <w:szCs w:val="24"/>
        </w:rPr>
        <w:t>omtales heretter som MR3</w:t>
      </w:r>
      <w:r w:rsidRPr="006F15EF">
        <w:rPr>
          <w:rFonts w:ascii="Arial" w:eastAsia="Times New Roman" w:hAnsi="Arial" w:cs="Arial"/>
          <w:sz w:val="24"/>
          <w:szCs w:val="24"/>
        </w:rPr>
        <w:t xml:space="preserve">). </w:t>
      </w:r>
      <w:r w:rsidR="00277299">
        <w:rPr>
          <w:rFonts w:ascii="Arial" w:eastAsia="Times New Roman" w:hAnsi="Arial" w:cs="Arial"/>
          <w:sz w:val="24"/>
          <w:szCs w:val="24"/>
        </w:rPr>
        <w:t>Ved</w:t>
      </w:r>
      <w:r w:rsidRPr="006F15EF">
        <w:rPr>
          <w:rFonts w:ascii="Arial" w:eastAsia="Times New Roman" w:hAnsi="Arial" w:cs="Arial"/>
          <w:sz w:val="24"/>
          <w:szCs w:val="24"/>
        </w:rPr>
        <w:t xml:space="preserve"> MR3 </w:t>
      </w:r>
      <w:r w:rsidR="005E067C">
        <w:rPr>
          <w:rFonts w:ascii="Arial" w:eastAsia="Times New Roman" w:hAnsi="Arial" w:cs="Arial"/>
          <w:sz w:val="24"/>
          <w:szCs w:val="24"/>
        </w:rPr>
        <w:t xml:space="preserve">på TKI behandling, </w:t>
      </w:r>
      <w:r w:rsidRPr="006F15EF">
        <w:rPr>
          <w:rFonts w:ascii="Arial" w:eastAsia="Times New Roman" w:hAnsi="Arial" w:cs="Arial"/>
          <w:sz w:val="24"/>
          <w:szCs w:val="24"/>
        </w:rPr>
        <w:t xml:space="preserve">er sjansen for progresjon svært lav. </w:t>
      </w:r>
    </w:p>
    <w:p w14:paraId="15D534EF" w14:textId="181539C7" w:rsidR="006F15EF" w:rsidRPr="006F15EF" w:rsidRDefault="006F15EF" w:rsidP="006F15EF">
      <w:pPr>
        <w:widowControl w:val="0"/>
        <w:spacing w:after="0" w:line="240" w:lineRule="auto"/>
        <w:ind w:left="567"/>
        <w:rPr>
          <w:rFonts w:ascii="Arial" w:eastAsia="Times New Roman" w:hAnsi="Arial" w:cs="Arial"/>
          <w:b/>
          <w:bCs/>
          <w:sz w:val="24"/>
          <w:szCs w:val="24"/>
        </w:rPr>
      </w:pPr>
      <w:r w:rsidRPr="006F15EF">
        <w:rPr>
          <w:rFonts w:ascii="Arial" w:eastAsia="Times New Roman" w:hAnsi="Arial" w:cs="Arial"/>
          <w:sz w:val="24"/>
          <w:szCs w:val="24"/>
        </w:rPr>
        <w:t>Begrepet komplett molekylær remisjon (CMR) kreves at man ikke kan påvise transkript overhode</w:t>
      </w:r>
      <w:r w:rsidRPr="006F15EF">
        <w:rPr>
          <w:rFonts w:ascii="Arial" w:eastAsia="Times New Roman" w:hAnsi="Arial" w:cs="Arial"/>
          <w:noProof/>
          <w:sz w:val="24"/>
          <w:szCs w:val="24"/>
        </w:rPr>
        <w:t xml:space="preserve">. </w:t>
      </w:r>
      <w:r w:rsidRPr="006F15EF">
        <w:rPr>
          <w:rFonts w:ascii="Arial" w:eastAsia="Times New Roman" w:hAnsi="Arial" w:cs="Arial"/>
          <w:sz w:val="24"/>
          <w:szCs w:val="24"/>
        </w:rPr>
        <w:t xml:space="preserve">Begrepet </w:t>
      </w:r>
      <w:r w:rsidR="003B5984">
        <w:rPr>
          <w:rFonts w:ascii="Arial" w:eastAsia="Times New Roman" w:hAnsi="Arial" w:cs="Arial"/>
          <w:sz w:val="24"/>
          <w:szCs w:val="24"/>
        </w:rPr>
        <w:t>er</w:t>
      </w:r>
      <w:r w:rsidRPr="006F15EF">
        <w:rPr>
          <w:rFonts w:ascii="Arial" w:eastAsia="Times New Roman" w:hAnsi="Arial" w:cs="Arial"/>
          <w:sz w:val="24"/>
          <w:szCs w:val="24"/>
        </w:rPr>
        <w:t xml:space="preserve"> forlatt, fordi sensitiviteten i prøven angir hvor negativ en negativ prøve er, og derigjennom reflekteres responsdypet. Begrepene MR4 </w:t>
      </w:r>
      <w:r w:rsidR="00DB6743">
        <w:rPr>
          <w:rFonts w:ascii="Arial" w:eastAsia="Times New Roman" w:hAnsi="Arial" w:cs="Arial"/>
          <w:sz w:val="24"/>
          <w:szCs w:val="24"/>
        </w:rPr>
        <w:t>≤</w:t>
      </w:r>
      <w:r w:rsidRPr="006F15EF">
        <w:rPr>
          <w:rFonts w:ascii="Arial" w:eastAsia="Times New Roman" w:hAnsi="Arial" w:cs="Arial"/>
          <w:sz w:val="24"/>
          <w:szCs w:val="24"/>
        </w:rPr>
        <w:t>0,01 %, MR4.5</w:t>
      </w:r>
      <w:r w:rsidR="00DB6743">
        <w:rPr>
          <w:rFonts w:ascii="Arial" w:eastAsia="Times New Roman" w:hAnsi="Arial" w:cs="Arial"/>
          <w:sz w:val="24"/>
          <w:szCs w:val="24"/>
        </w:rPr>
        <w:t>≤</w:t>
      </w:r>
      <w:r w:rsidRPr="006F15EF">
        <w:rPr>
          <w:rFonts w:ascii="Arial" w:eastAsia="Times New Roman" w:hAnsi="Arial" w:cs="Arial"/>
          <w:sz w:val="24"/>
          <w:szCs w:val="24"/>
        </w:rPr>
        <w:t>0,032% og MR 5</w:t>
      </w:r>
      <w:r w:rsidR="00DB6743">
        <w:rPr>
          <w:rFonts w:ascii="Arial" w:eastAsia="Times New Roman" w:hAnsi="Arial" w:cs="Arial"/>
          <w:sz w:val="24"/>
          <w:szCs w:val="24"/>
        </w:rPr>
        <w:t>≤</w:t>
      </w:r>
      <w:r w:rsidRPr="006F15EF">
        <w:rPr>
          <w:rFonts w:ascii="Arial" w:eastAsia="Times New Roman" w:hAnsi="Arial" w:cs="Arial"/>
          <w:sz w:val="24"/>
          <w:szCs w:val="24"/>
        </w:rPr>
        <w:t>0,001% er mer presise</w:t>
      </w:r>
      <w:r w:rsidR="003B5984">
        <w:rPr>
          <w:rFonts w:ascii="Arial" w:eastAsia="Times New Roman" w:hAnsi="Arial" w:cs="Arial"/>
          <w:sz w:val="24"/>
          <w:szCs w:val="24"/>
        </w:rPr>
        <w:t xml:space="preserve"> og alle disse respons</w:t>
      </w:r>
      <w:r w:rsidR="00A309E0">
        <w:rPr>
          <w:rFonts w:ascii="Arial" w:eastAsia="Times New Roman" w:hAnsi="Arial" w:cs="Arial"/>
          <w:sz w:val="24"/>
          <w:szCs w:val="24"/>
        </w:rPr>
        <w:t xml:space="preserve">nivåene aksepteres </w:t>
      </w:r>
      <w:r w:rsidR="00982EFA">
        <w:rPr>
          <w:rFonts w:ascii="Arial" w:eastAsia="Times New Roman" w:hAnsi="Arial" w:cs="Arial"/>
          <w:sz w:val="24"/>
          <w:szCs w:val="24"/>
        </w:rPr>
        <w:t>som dyp molekylær respons (DMR)</w:t>
      </w:r>
      <w:r w:rsidR="00A309E0">
        <w:rPr>
          <w:rFonts w:ascii="Arial" w:eastAsia="Times New Roman" w:hAnsi="Arial" w:cs="Arial"/>
          <w:sz w:val="24"/>
          <w:szCs w:val="24"/>
        </w:rPr>
        <w:t xml:space="preserve">, som er godt korrelert med </w:t>
      </w:r>
      <w:r w:rsidR="005E067C">
        <w:rPr>
          <w:rFonts w:ascii="Arial" w:eastAsia="Times New Roman" w:hAnsi="Arial" w:cs="Arial"/>
          <w:sz w:val="24"/>
          <w:szCs w:val="24"/>
        </w:rPr>
        <w:t xml:space="preserve">muligheten for varig </w:t>
      </w:r>
      <w:r w:rsidR="00A309E0">
        <w:rPr>
          <w:rFonts w:ascii="Arial" w:eastAsia="Times New Roman" w:hAnsi="Arial" w:cs="Arial"/>
          <w:sz w:val="24"/>
          <w:szCs w:val="24"/>
        </w:rPr>
        <w:t>TFR.</w:t>
      </w:r>
    </w:p>
    <w:p w14:paraId="2F5C757D" w14:textId="03A8012A"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BCR-ABL mutasjonsanalyse:</w:t>
      </w:r>
      <w:r w:rsidRPr="006F15EF">
        <w:rPr>
          <w:rFonts w:ascii="Arial" w:eastAsia="Times New Roman" w:hAnsi="Arial" w:cs="Arial"/>
          <w:sz w:val="24"/>
          <w:szCs w:val="24"/>
        </w:rPr>
        <w:t xml:space="preserve"> Resistens mot</w:t>
      </w:r>
      <w:r w:rsidR="00B2752D">
        <w:rPr>
          <w:rFonts w:ascii="Arial" w:eastAsia="Times New Roman" w:hAnsi="Arial" w:cs="Arial"/>
          <w:sz w:val="24"/>
          <w:szCs w:val="24"/>
        </w:rPr>
        <w:t xml:space="preserve"> TKI </w:t>
      </w:r>
      <w:r w:rsidRPr="006F15EF">
        <w:rPr>
          <w:rFonts w:ascii="Arial" w:eastAsia="Times New Roman" w:hAnsi="Arial" w:cs="Arial"/>
          <w:sz w:val="24"/>
          <w:szCs w:val="24"/>
        </w:rPr>
        <w:t xml:space="preserve">kan skyldes amplifisering eller punktmutasjoner i BCR-ABL genet. Relevante punkt-mutasjoner fører til utbytte av enkelt-aminosyrer, og </w:t>
      </w:r>
      <w:r w:rsidR="005E067C">
        <w:rPr>
          <w:rFonts w:ascii="Arial" w:eastAsia="Times New Roman" w:hAnsi="Arial" w:cs="Arial"/>
          <w:sz w:val="24"/>
          <w:szCs w:val="24"/>
        </w:rPr>
        <w:t>slike molekylendringer resulterer i opphevet eller lavere affinitet av bindingen mellom TKI og bcr-abl.</w:t>
      </w:r>
      <w:r w:rsidRPr="006F15EF">
        <w:rPr>
          <w:rFonts w:ascii="Arial" w:eastAsia="Times New Roman" w:hAnsi="Arial" w:cs="Arial"/>
          <w:sz w:val="24"/>
          <w:szCs w:val="24"/>
        </w:rPr>
        <w:t xml:space="preserve"> </w:t>
      </w:r>
    </w:p>
    <w:p w14:paraId="09140CE3" w14:textId="2A3C56E3" w:rsidR="006F15EF" w:rsidRPr="006F15EF" w:rsidRDefault="006F15EF" w:rsidP="006F15EF">
      <w:pPr>
        <w:widowControl w:val="0"/>
        <w:numPr>
          <w:ilvl w:val="0"/>
          <w:numId w:val="7"/>
        </w:numPr>
        <w:spacing w:after="0" w:line="240" w:lineRule="auto"/>
        <w:rPr>
          <w:rFonts w:ascii="Arial" w:eastAsia="Times New Roman" w:hAnsi="Arial" w:cs="Arial"/>
          <w:sz w:val="24"/>
          <w:szCs w:val="24"/>
        </w:rPr>
      </w:pPr>
      <w:r w:rsidRPr="006F15EF">
        <w:rPr>
          <w:rFonts w:ascii="Arial" w:eastAsia="Times New Roman" w:hAnsi="Arial" w:cs="Arial"/>
          <w:b/>
          <w:bCs/>
          <w:sz w:val="24"/>
          <w:szCs w:val="24"/>
        </w:rPr>
        <w:t xml:space="preserve">Det anbefales at </w:t>
      </w:r>
      <w:r w:rsidRPr="006F15EF">
        <w:rPr>
          <w:rFonts w:ascii="Arial" w:eastAsia="Times New Roman" w:hAnsi="Arial" w:cs="Times New Roman"/>
          <w:b/>
          <w:bCs/>
          <w:sz w:val="24"/>
          <w:szCs w:val="24"/>
        </w:rPr>
        <w:t>kliniker</w:t>
      </w:r>
      <w:r w:rsidRPr="006F15EF">
        <w:rPr>
          <w:rFonts w:ascii="Arial" w:eastAsia="Times New Roman" w:hAnsi="Arial" w:cs="Arial"/>
          <w:b/>
          <w:bCs/>
          <w:sz w:val="24"/>
          <w:szCs w:val="24"/>
        </w:rPr>
        <w:t>en bestiller mutasjonsanalyse ved stigning av BCR-ABL-transkript med mere enn 5 ganger tidligere nivå</w:t>
      </w:r>
      <w:r w:rsidR="00982EFA">
        <w:rPr>
          <w:rFonts w:ascii="Arial" w:eastAsia="Times New Roman" w:hAnsi="Arial" w:cs="Arial"/>
          <w:b/>
          <w:bCs/>
          <w:sz w:val="24"/>
          <w:szCs w:val="24"/>
        </w:rPr>
        <w:t xml:space="preserve"> (forutsatt at pasienten har transkriptnivå &gt;0,1%</w:t>
      </w:r>
      <w:r w:rsidRPr="006F15EF">
        <w:rPr>
          <w:rFonts w:ascii="Arial" w:eastAsia="Times New Roman" w:hAnsi="Arial" w:cs="Arial"/>
          <w:b/>
          <w:bCs/>
          <w:sz w:val="24"/>
          <w:szCs w:val="24"/>
        </w:rPr>
        <w:t xml:space="preserve"> (evidensgrad D).</w:t>
      </w:r>
    </w:p>
    <w:p w14:paraId="613F1716" w14:textId="4A928051" w:rsidR="006F15EF" w:rsidRPr="006F15EF" w:rsidRDefault="006F15EF" w:rsidP="006F15EF">
      <w:pPr>
        <w:widowControl w:val="0"/>
        <w:spacing w:after="0" w:line="240" w:lineRule="auto"/>
        <w:ind w:left="630"/>
        <w:rPr>
          <w:rFonts w:ascii="Arial" w:eastAsia="Times New Roman" w:hAnsi="Arial" w:cs="Arial"/>
          <w:sz w:val="24"/>
          <w:szCs w:val="24"/>
        </w:rPr>
      </w:pPr>
      <w:r w:rsidRPr="006F15EF">
        <w:rPr>
          <w:rFonts w:ascii="Arial" w:eastAsia="Times New Roman" w:hAnsi="Arial" w:cs="Arial"/>
          <w:sz w:val="24"/>
          <w:szCs w:val="24"/>
        </w:rPr>
        <w:t xml:space="preserve">Denne analysen kan </w:t>
      </w:r>
      <w:r w:rsidR="00B5117C">
        <w:rPr>
          <w:rFonts w:ascii="Arial" w:eastAsia="Times New Roman" w:hAnsi="Arial" w:cs="Arial"/>
          <w:sz w:val="24"/>
          <w:szCs w:val="24"/>
        </w:rPr>
        <w:t xml:space="preserve">etterbestilles på telefon og </w:t>
      </w:r>
      <w:r w:rsidRPr="006F15EF">
        <w:rPr>
          <w:rFonts w:ascii="Arial" w:eastAsia="Times New Roman" w:hAnsi="Arial" w:cs="Arial"/>
          <w:sz w:val="24"/>
          <w:szCs w:val="24"/>
        </w:rPr>
        <w:t xml:space="preserve">utføres i samme prøvemateriale som ble tatt til RT-qPCR for BCR-ABL. Ved funn av punktmutasjoner som gir </w:t>
      </w:r>
      <w:r w:rsidR="00B2752D">
        <w:rPr>
          <w:rFonts w:ascii="Arial" w:eastAsia="Times New Roman" w:hAnsi="Arial" w:cs="Arial"/>
          <w:sz w:val="24"/>
          <w:szCs w:val="24"/>
        </w:rPr>
        <w:t>TKI-</w:t>
      </w:r>
      <w:r w:rsidR="00B2752D" w:rsidRPr="006F15EF">
        <w:rPr>
          <w:rFonts w:ascii="Arial" w:eastAsia="Times New Roman" w:hAnsi="Arial" w:cs="Arial"/>
          <w:sz w:val="24"/>
          <w:szCs w:val="24"/>
        </w:rPr>
        <w:t>resistens</w:t>
      </w:r>
      <w:r w:rsidRPr="006F15EF">
        <w:rPr>
          <w:rFonts w:ascii="Arial" w:eastAsia="Times New Roman" w:hAnsi="Arial" w:cs="Arial"/>
          <w:sz w:val="24"/>
          <w:szCs w:val="24"/>
        </w:rPr>
        <w:t xml:space="preserve">: se avsnittet: «Valg av 2TKI». </w:t>
      </w:r>
    </w:p>
    <w:p w14:paraId="4C6590CA" w14:textId="77777777" w:rsidR="006F15EF" w:rsidRPr="006F15EF" w:rsidRDefault="006F15EF" w:rsidP="006F15EF">
      <w:pPr>
        <w:keepNext/>
        <w:widowControl w:val="0"/>
        <w:numPr>
          <w:ilvl w:val="1"/>
          <w:numId w:val="1"/>
        </w:numPr>
        <w:tabs>
          <w:tab w:val="left" w:pos="1620"/>
        </w:tabs>
        <w:spacing w:before="220" w:after="200" w:line="240" w:lineRule="auto"/>
        <w:ind w:left="1080"/>
        <w:outlineLvl w:val="1"/>
        <w:rPr>
          <w:rFonts w:ascii="Arial" w:eastAsia="Times New Roman" w:hAnsi="Arial" w:cs="Arial"/>
          <w:b/>
          <w:bCs/>
          <w:color w:val="000000"/>
          <w:sz w:val="24"/>
          <w:szCs w:val="24"/>
        </w:rPr>
      </w:pPr>
      <w:bookmarkStart w:id="18" w:name="_Toc365452285"/>
      <w:bookmarkStart w:id="19" w:name="_Toc438470528"/>
      <w:r w:rsidRPr="006F15EF">
        <w:rPr>
          <w:rFonts w:ascii="Arial" w:eastAsia="Times New Roman" w:hAnsi="Arial" w:cs="Arial"/>
          <w:b/>
          <w:bCs/>
          <w:color w:val="000000"/>
          <w:sz w:val="24"/>
          <w:szCs w:val="24"/>
        </w:rPr>
        <w:t>Førstelinjebehandling i kronisk fase</w:t>
      </w:r>
      <w:bookmarkEnd w:id="18"/>
      <w:bookmarkEnd w:id="19"/>
    </w:p>
    <w:p w14:paraId="6F708180" w14:textId="77777777" w:rsidR="006F15EF" w:rsidRPr="006F15EF" w:rsidRDefault="006F15EF" w:rsidP="006F15EF">
      <w:pPr>
        <w:keepNext/>
        <w:widowControl w:val="0"/>
        <w:numPr>
          <w:ilvl w:val="2"/>
          <w:numId w:val="1"/>
        </w:numPr>
        <w:tabs>
          <w:tab w:val="left" w:pos="1418"/>
        </w:tabs>
        <w:spacing w:before="200" w:after="200" w:line="240" w:lineRule="auto"/>
        <w:ind w:left="1080"/>
        <w:outlineLvl w:val="2"/>
        <w:rPr>
          <w:rFonts w:ascii="Arial" w:eastAsia="Times New Roman" w:hAnsi="Arial" w:cs="Arial"/>
          <w:b/>
          <w:bCs/>
          <w:i/>
          <w:iCs/>
          <w:sz w:val="24"/>
          <w:szCs w:val="24"/>
        </w:rPr>
      </w:pPr>
      <w:bookmarkStart w:id="20" w:name="_Toc365452286"/>
      <w:bookmarkStart w:id="21" w:name="_Toc438470529"/>
      <w:r w:rsidRPr="006F15EF">
        <w:rPr>
          <w:rFonts w:ascii="Arial" w:eastAsia="Times New Roman" w:hAnsi="Arial" w:cs="Arial"/>
          <w:b/>
          <w:bCs/>
          <w:i/>
          <w:iCs/>
          <w:sz w:val="24"/>
          <w:szCs w:val="24"/>
        </w:rPr>
        <w:t>Strategi ved debut</w:t>
      </w:r>
      <w:bookmarkEnd w:id="20"/>
      <w:bookmarkEnd w:id="21"/>
    </w:p>
    <w:p w14:paraId="4A250FD3" w14:textId="25883578" w:rsidR="006F15EF" w:rsidRDefault="006F15EF" w:rsidP="006F15EF">
      <w:pPr>
        <w:widowControl w:val="0"/>
        <w:numPr>
          <w:ilvl w:val="0"/>
          <w:numId w:val="8"/>
        </w:numPr>
        <w:spacing w:after="0" w:line="240" w:lineRule="auto"/>
        <w:rPr>
          <w:rFonts w:ascii="Arial" w:eastAsia="Times New Roman" w:hAnsi="Arial" w:cs="Arial"/>
          <w:b/>
          <w:bCs/>
          <w:sz w:val="24"/>
          <w:szCs w:val="24"/>
        </w:rPr>
      </w:pPr>
      <w:r w:rsidRPr="006F15EF">
        <w:rPr>
          <w:rFonts w:ascii="Arial" w:eastAsia="Times New Roman" w:hAnsi="Arial" w:cs="Arial"/>
          <w:b/>
          <w:bCs/>
          <w:sz w:val="24"/>
          <w:szCs w:val="24"/>
        </w:rPr>
        <w:t xml:space="preserve">Alle pasienter med nydiagnostisert KML bør diskuteres med universitetssykehus, for å lage en individuell behandlingsplan og gi tilbud om studieinklusjon (evidensgrad D). </w:t>
      </w:r>
    </w:p>
    <w:p w14:paraId="7577FB15" w14:textId="3B48FF5F" w:rsidR="00982EFA" w:rsidRPr="006F15EF" w:rsidRDefault="00982EFA" w:rsidP="006F15EF">
      <w:pPr>
        <w:widowControl w:val="0"/>
        <w:numPr>
          <w:ilvl w:val="0"/>
          <w:numId w:val="8"/>
        </w:numPr>
        <w:spacing w:after="0" w:line="240" w:lineRule="auto"/>
        <w:rPr>
          <w:rFonts w:ascii="Arial" w:eastAsia="Times New Roman" w:hAnsi="Arial" w:cs="Arial"/>
          <w:b/>
          <w:bCs/>
          <w:sz w:val="24"/>
          <w:szCs w:val="24"/>
        </w:rPr>
      </w:pPr>
      <w:r>
        <w:rPr>
          <w:rFonts w:ascii="Arial" w:eastAsia="Times New Roman" w:hAnsi="Arial" w:cs="Arial"/>
          <w:b/>
          <w:bCs/>
          <w:sz w:val="24"/>
          <w:szCs w:val="24"/>
        </w:rPr>
        <w:t>Hvilket mål skal oppnås: Overlevelse med god livskvalitet? behandlingsfri remisjon?</w:t>
      </w:r>
    </w:p>
    <w:p w14:paraId="0ADCE31A" w14:textId="54F2073D" w:rsidR="006F15EF" w:rsidRPr="006F15EF" w:rsidRDefault="006F15EF" w:rsidP="006F15EF">
      <w:pPr>
        <w:widowControl w:val="0"/>
        <w:numPr>
          <w:ilvl w:val="0"/>
          <w:numId w:val="8"/>
        </w:numPr>
        <w:spacing w:after="120" w:line="240" w:lineRule="auto"/>
        <w:rPr>
          <w:rFonts w:ascii="Arial" w:eastAsia="Times New Roman" w:hAnsi="Arial" w:cs="Arial"/>
          <w:b/>
          <w:bCs/>
          <w:sz w:val="24"/>
          <w:szCs w:val="24"/>
        </w:rPr>
      </w:pPr>
      <w:r w:rsidRPr="006F15EF">
        <w:rPr>
          <w:rFonts w:ascii="Arial" w:eastAsia="Times New Roman" w:hAnsi="Arial" w:cs="Arial"/>
          <w:b/>
          <w:bCs/>
          <w:sz w:val="24"/>
          <w:szCs w:val="24"/>
        </w:rPr>
        <w:t xml:space="preserve">Behandling med TKI bør startes når diagnosen er sikker, selv om pasienten ikke har symptomer (evidensgrad A). </w:t>
      </w:r>
      <w:r w:rsidRPr="006F15EF">
        <w:rPr>
          <w:rFonts w:ascii="Arial" w:eastAsia="Times New Roman" w:hAnsi="Arial" w:cs="Arial"/>
          <w:b/>
          <w:sz w:val="24"/>
          <w:szCs w:val="24"/>
        </w:rPr>
        <w:t>Det er i hovedsak to strategier for TKI-behandling. 1) Imatinib fra start og raskt bytte ved dårlig respons</w:t>
      </w:r>
      <w:r w:rsidR="007E4F8D">
        <w:rPr>
          <w:rFonts w:ascii="Arial" w:eastAsia="Times New Roman" w:hAnsi="Arial" w:cs="Arial"/>
          <w:b/>
          <w:sz w:val="24"/>
          <w:szCs w:val="24"/>
        </w:rPr>
        <w:t xml:space="preserve"> (gjelder flertallet av pasienter)</w:t>
      </w:r>
      <w:r w:rsidRPr="006F15EF">
        <w:rPr>
          <w:rFonts w:ascii="Arial" w:eastAsia="Times New Roman" w:hAnsi="Arial" w:cs="Arial"/>
          <w:b/>
          <w:sz w:val="24"/>
          <w:szCs w:val="24"/>
        </w:rPr>
        <w:t>. 2) Dasatinib</w:t>
      </w:r>
      <w:r w:rsidR="00581003">
        <w:rPr>
          <w:rFonts w:ascii="Arial" w:eastAsia="Times New Roman" w:hAnsi="Arial" w:cs="Arial"/>
          <w:b/>
          <w:sz w:val="24"/>
          <w:szCs w:val="24"/>
        </w:rPr>
        <w:t xml:space="preserve">, </w:t>
      </w:r>
      <w:r w:rsidRPr="006F15EF">
        <w:rPr>
          <w:rFonts w:ascii="Arial" w:eastAsia="Times New Roman" w:hAnsi="Arial" w:cs="Arial"/>
          <w:b/>
          <w:sz w:val="24"/>
          <w:szCs w:val="24"/>
        </w:rPr>
        <w:t>Nilotinib</w:t>
      </w:r>
      <w:r w:rsidR="00581003">
        <w:rPr>
          <w:rFonts w:ascii="Arial" w:eastAsia="Times New Roman" w:hAnsi="Arial" w:cs="Arial"/>
          <w:b/>
          <w:sz w:val="24"/>
          <w:szCs w:val="24"/>
        </w:rPr>
        <w:t xml:space="preserve"> eller Bosutinib</w:t>
      </w:r>
      <w:r w:rsidRPr="006F15EF">
        <w:rPr>
          <w:rFonts w:ascii="Arial" w:eastAsia="Times New Roman" w:hAnsi="Arial" w:cs="Arial"/>
          <w:b/>
          <w:sz w:val="24"/>
          <w:szCs w:val="24"/>
        </w:rPr>
        <w:t xml:space="preserve"> for å oppnå dyp respons</w:t>
      </w:r>
      <w:r w:rsidR="007E4F8D">
        <w:rPr>
          <w:rFonts w:ascii="Arial" w:eastAsia="Times New Roman" w:hAnsi="Arial" w:cs="Arial"/>
          <w:b/>
          <w:sz w:val="24"/>
          <w:szCs w:val="24"/>
        </w:rPr>
        <w:t xml:space="preserve"> </w:t>
      </w:r>
      <w:r w:rsidR="005E067C">
        <w:rPr>
          <w:rFonts w:ascii="Arial" w:eastAsia="Times New Roman" w:hAnsi="Arial" w:cs="Arial"/>
          <w:b/>
          <w:sz w:val="24"/>
          <w:szCs w:val="24"/>
        </w:rPr>
        <w:t>raskt</w:t>
      </w:r>
      <w:r w:rsidR="007E4F8D">
        <w:rPr>
          <w:rFonts w:ascii="Arial" w:eastAsia="Times New Roman" w:hAnsi="Arial" w:cs="Arial"/>
          <w:b/>
          <w:sz w:val="24"/>
          <w:szCs w:val="24"/>
        </w:rPr>
        <w:t xml:space="preserve">. </w:t>
      </w:r>
      <w:r w:rsidRPr="006F15EF">
        <w:rPr>
          <w:rFonts w:ascii="Arial" w:eastAsia="Times New Roman" w:hAnsi="Arial" w:cs="Arial"/>
          <w:b/>
          <w:sz w:val="24"/>
          <w:szCs w:val="24"/>
        </w:rPr>
        <w:t xml:space="preserve"> </w:t>
      </w:r>
      <w:r w:rsidR="007E4F8D">
        <w:rPr>
          <w:rFonts w:ascii="Arial" w:eastAsia="Times New Roman" w:hAnsi="Arial" w:cs="Arial"/>
          <w:b/>
          <w:sz w:val="24"/>
          <w:szCs w:val="24"/>
        </w:rPr>
        <w:t>Pasientpreferanse, bivirkningsprofil og komorbiditet er viktig for valg av strategi</w:t>
      </w:r>
      <w:r w:rsidRPr="006F15EF">
        <w:rPr>
          <w:rFonts w:ascii="Arial" w:eastAsia="Times New Roman" w:hAnsi="Arial" w:cs="Arial"/>
          <w:b/>
          <w:sz w:val="24"/>
          <w:szCs w:val="24"/>
        </w:rPr>
        <w:t xml:space="preserve">. </w:t>
      </w:r>
    </w:p>
    <w:p w14:paraId="33EF2E5A" w14:textId="386589EA" w:rsidR="006F15EF" w:rsidRPr="006F15EF" w:rsidRDefault="00B5117C" w:rsidP="006F15EF">
      <w:pPr>
        <w:widowControl w:val="0"/>
        <w:spacing w:after="0" w:line="240" w:lineRule="auto"/>
        <w:ind w:left="567"/>
        <w:rPr>
          <w:rFonts w:ascii="Arial" w:eastAsia="Times New Roman" w:hAnsi="Arial" w:cs="Arial"/>
          <w:sz w:val="24"/>
          <w:szCs w:val="24"/>
        </w:rPr>
      </w:pPr>
      <w:r>
        <w:rPr>
          <w:rFonts w:ascii="Arial" w:eastAsia="Times New Roman" w:hAnsi="Arial" w:cs="Arial"/>
          <w:sz w:val="24"/>
          <w:szCs w:val="24"/>
        </w:rPr>
        <w:lastRenderedPageBreak/>
        <w:t xml:space="preserve">Selv pasienter </w:t>
      </w:r>
      <w:r w:rsidR="006F15EF" w:rsidRPr="006F15EF">
        <w:rPr>
          <w:rFonts w:ascii="Arial" w:eastAsia="Times New Roman" w:hAnsi="Arial" w:cs="Arial"/>
          <w:sz w:val="24"/>
          <w:szCs w:val="24"/>
        </w:rPr>
        <w:t>med kort forventet overlevelse uavhengig av leukemien,</w:t>
      </w:r>
      <w:r>
        <w:rPr>
          <w:rFonts w:ascii="Arial" w:eastAsia="Times New Roman" w:hAnsi="Arial" w:cs="Arial"/>
          <w:sz w:val="24"/>
          <w:szCs w:val="24"/>
        </w:rPr>
        <w:t xml:space="preserve"> behandles med </w:t>
      </w:r>
      <w:r w:rsidR="00B2752D">
        <w:rPr>
          <w:rFonts w:ascii="Arial" w:eastAsia="Times New Roman" w:hAnsi="Arial" w:cs="Arial"/>
          <w:sz w:val="24"/>
          <w:szCs w:val="24"/>
        </w:rPr>
        <w:t>TKI</w:t>
      </w:r>
      <w:r w:rsidR="00982EFA">
        <w:rPr>
          <w:rFonts w:ascii="Arial" w:eastAsia="Times New Roman" w:hAnsi="Arial" w:cs="Arial"/>
          <w:sz w:val="24"/>
          <w:szCs w:val="24"/>
        </w:rPr>
        <w:t>, oftest er imatinib mest aktuelt,</w:t>
      </w:r>
      <w:r w:rsidR="00B2752D">
        <w:rPr>
          <w:rFonts w:ascii="Arial" w:eastAsia="Times New Roman" w:hAnsi="Arial" w:cs="Arial"/>
          <w:sz w:val="24"/>
          <w:szCs w:val="24"/>
        </w:rPr>
        <w:t xml:space="preserve"> </w:t>
      </w:r>
      <w:r>
        <w:rPr>
          <w:rFonts w:ascii="Arial" w:eastAsia="Times New Roman" w:hAnsi="Arial" w:cs="Arial"/>
          <w:sz w:val="24"/>
          <w:szCs w:val="24"/>
        </w:rPr>
        <w:t>evt Hydroxyurea (HU)</w:t>
      </w:r>
      <w:r w:rsidR="006F15EF" w:rsidRPr="006F15EF">
        <w:rPr>
          <w:rFonts w:ascii="Arial" w:eastAsia="Times New Roman" w:hAnsi="Arial" w:cs="Arial"/>
          <w:sz w:val="24"/>
          <w:szCs w:val="24"/>
        </w:rPr>
        <w:t>). Dersom det er indikasjon for å starte behandling før diagnosen er bekreftet (leukostase, kraftig trombocytose), kan man</w:t>
      </w:r>
      <w:r>
        <w:rPr>
          <w:rFonts w:ascii="Arial" w:eastAsia="Times New Roman" w:hAnsi="Arial" w:cs="Arial"/>
          <w:sz w:val="24"/>
          <w:szCs w:val="24"/>
        </w:rPr>
        <w:t xml:space="preserve"> velge å</w:t>
      </w:r>
      <w:r w:rsidR="006F15EF" w:rsidRPr="006F15EF">
        <w:rPr>
          <w:rFonts w:ascii="Arial" w:eastAsia="Times New Roman" w:hAnsi="Arial" w:cs="Arial"/>
          <w:sz w:val="24"/>
          <w:szCs w:val="24"/>
        </w:rPr>
        <w:t xml:space="preserve"> starte med HU. HU kan også gis parallelt med TKI initialt om det er behov for å redusere celletallet raskt (dosering se under). Ved start av leukemibehandling oppfordres pasienten til rikelig væskeinntak som tumorlyse-profylakse.</w:t>
      </w:r>
    </w:p>
    <w:p w14:paraId="79D2093C" w14:textId="77777777" w:rsidR="006F15EF" w:rsidRPr="006F15EF" w:rsidRDefault="006F15EF" w:rsidP="006F15EF">
      <w:pPr>
        <w:widowControl w:val="0"/>
        <w:spacing w:after="0" w:line="240" w:lineRule="auto"/>
        <w:rPr>
          <w:rFonts w:ascii="Arial" w:eastAsia="Times New Roman" w:hAnsi="Arial" w:cs="Arial"/>
          <w:sz w:val="24"/>
          <w:szCs w:val="24"/>
        </w:rPr>
      </w:pPr>
    </w:p>
    <w:p w14:paraId="09B93B23" w14:textId="45F971BE" w:rsidR="006F15EF" w:rsidRPr="006F15EF" w:rsidRDefault="006F15EF" w:rsidP="006F15EF">
      <w:pPr>
        <w:widowControl w:val="0"/>
        <w:spacing w:after="0" w:line="240" w:lineRule="auto"/>
        <w:ind w:left="567"/>
        <w:rPr>
          <w:rFonts w:ascii="Arial" w:eastAsia="Times New Roman" w:hAnsi="Arial" w:cs="Arial"/>
          <w:sz w:val="24"/>
          <w:szCs w:val="24"/>
        </w:rPr>
      </w:pPr>
      <w:r w:rsidRPr="00A1775A">
        <w:rPr>
          <w:rFonts w:ascii="Arial" w:eastAsia="Times New Roman" w:hAnsi="Arial" w:cs="Arial"/>
          <w:b/>
          <w:sz w:val="24"/>
          <w:szCs w:val="24"/>
        </w:rPr>
        <w:t>Målet med behandlingen</w:t>
      </w:r>
      <w:r w:rsidRPr="006F15EF">
        <w:rPr>
          <w:rFonts w:ascii="Arial" w:eastAsia="Times New Roman" w:hAnsi="Arial" w:cs="Arial"/>
          <w:sz w:val="24"/>
          <w:szCs w:val="24"/>
        </w:rPr>
        <w:t xml:space="preserve"> er først og fremst å hindre progresjon av sykdommen og å opprettholde god livskvalitet</w:t>
      </w:r>
      <w:r w:rsidR="00DB22D1">
        <w:rPr>
          <w:rFonts w:ascii="Arial" w:eastAsia="Times New Roman" w:hAnsi="Arial" w:cs="Arial"/>
          <w:sz w:val="24"/>
          <w:szCs w:val="24"/>
        </w:rPr>
        <w:t xml:space="preserve"> med langtids overlevelse</w:t>
      </w:r>
      <w:r w:rsidRPr="006F15EF">
        <w:rPr>
          <w:rFonts w:ascii="Arial" w:eastAsia="Times New Roman" w:hAnsi="Arial" w:cs="Arial"/>
          <w:sz w:val="24"/>
          <w:szCs w:val="24"/>
        </w:rPr>
        <w:t xml:space="preserve">. </w:t>
      </w:r>
      <w:r w:rsidR="00DB22D1">
        <w:rPr>
          <w:rFonts w:ascii="Arial" w:eastAsia="Times New Roman" w:hAnsi="Arial" w:cs="Arial"/>
          <w:sz w:val="24"/>
          <w:szCs w:val="24"/>
        </w:rPr>
        <w:t>S</w:t>
      </w:r>
      <w:r w:rsidR="00B5117C">
        <w:rPr>
          <w:rFonts w:ascii="Arial" w:eastAsia="Times New Roman" w:hAnsi="Arial" w:cs="Arial"/>
          <w:sz w:val="24"/>
          <w:szCs w:val="24"/>
        </w:rPr>
        <w:t xml:space="preserve">eponering av TKI </w:t>
      </w:r>
      <w:r w:rsidR="00DB22D1">
        <w:rPr>
          <w:rFonts w:ascii="Arial" w:eastAsia="Times New Roman" w:hAnsi="Arial" w:cs="Arial"/>
          <w:sz w:val="24"/>
          <w:szCs w:val="24"/>
        </w:rPr>
        <w:t xml:space="preserve">med nøye oppfølging </w:t>
      </w:r>
      <w:r w:rsidR="00B5117C">
        <w:rPr>
          <w:rFonts w:ascii="Arial" w:eastAsia="Times New Roman" w:hAnsi="Arial" w:cs="Arial"/>
          <w:sz w:val="24"/>
          <w:szCs w:val="24"/>
        </w:rPr>
        <w:t>hos pasienter med spesifisert god respons</w:t>
      </w:r>
      <w:r w:rsidR="00DB22D1">
        <w:rPr>
          <w:rFonts w:ascii="Arial" w:eastAsia="Times New Roman" w:hAnsi="Arial" w:cs="Arial"/>
          <w:sz w:val="24"/>
          <w:szCs w:val="24"/>
        </w:rPr>
        <w:t xml:space="preserve"> er nå del av standardoppfølgingen av KML.</w:t>
      </w:r>
      <w:r w:rsidR="00B5117C">
        <w:rPr>
          <w:rFonts w:ascii="Arial" w:eastAsia="Times New Roman" w:hAnsi="Arial" w:cs="Arial"/>
          <w:sz w:val="24"/>
          <w:szCs w:val="24"/>
        </w:rPr>
        <w:t xml:space="preserve"> </w:t>
      </w:r>
      <w:r w:rsidRPr="006F15EF">
        <w:rPr>
          <w:rFonts w:ascii="Arial" w:eastAsia="Times New Roman" w:hAnsi="Arial" w:cs="Arial"/>
          <w:noProof/>
          <w:sz w:val="24"/>
          <w:szCs w:val="24"/>
        </w:rPr>
        <w:t>(8)</w:t>
      </w:r>
      <w:r w:rsidR="00DB22D1">
        <w:rPr>
          <w:rFonts w:ascii="Arial" w:eastAsia="Times New Roman" w:hAnsi="Arial" w:cs="Arial"/>
          <w:noProof/>
          <w:sz w:val="24"/>
          <w:szCs w:val="24"/>
        </w:rPr>
        <w:t xml:space="preserve"> </w:t>
      </w:r>
      <w:r w:rsidRPr="006F15EF">
        <w:rPr>
          <w:rFonts w:ascii="Arial" w:eastAsia="Times New Roman" w:hAnsi="Arial" w:cs="Arial"/>
          <w:sz w:val="24"/>
          <w:szCs w:val="24"/>
        </w:rPr>
        <w:t xml:space="preserve">. Gir man 2TKI ved diagnose, vil flere oppnå dypere responser raskt og det er rimelig å regne med at denne strategien vil øke andelen pasienter som på sikt kan avslutte behandlingen uten tilbakefall. </w:t>
      </w:r>
      <w:r w:rsidR="007E4F8D">
        <w:rPr>
          <w:rFonts w:ascii="Arial" w:eastAsia="Times New Roman" w:hAnsi="Arial" w:cs="Arial"/>
          <w:sz w:val="24"/>
          <w:szCs w:val="24"/>
        </w:rPr>
        <w:t>Denne strategien er mest interessant for yngre pasienter, særlig unge kvinner med evt barneønske.</w:t>
      </w:r>
      <w:r w:rsidR="00A309E0">
        <w:rPr>
          <w:rFonts w:ascii="Arial" w:eastAsia="Times New Roman" w:hAnsi="Arial" w:cs="Arial"/>
          <w:sz w:val="24"/>
          <w:szCs w:val="24"/>
        </w:rPr>
        <w:t xml:space="preserve"> </w:t>
      </w:r>
      <w:r w:rsidRPr="006F15EF">
        <w:rPr>
          <w:rFonts w:ascii="Arial" w:eastAsia="Times New Roman" w:hAnsi="Arial" w:cs="Arial"/>
          <w:sz w:val="24"/>
          <w:szCs w:val="24"/>
        </w:rPr>
        <w:t>Uavhengig av TKI</w:t>
      </w:r>
      <w:r w:rsidR="00B5117C">
        <w:rPr>
          <w:rFonts w:ascii="Arial" w:eastAsia="Times New Roman" w:hAnsi="Arial" w:cs="Arial"/>
          <w:sz w:val="24"/>
          <w:szCs w:val="24"/>
        </w:rPr>
        <w:t>-</w:t>
      </w:r>
      <w:r w:rsidRPr="006F15EF">
        <w:rPr>
          <w:rFonts w:ascii="Arial" w:eastAsia="Times New Roman" w:hAnsi="Arial" w:cs="Arial"/>
          <w:sz w:val="24"/>
          <w:szCs w:val="24"/>
        </w:rPr>
        <w:t xml:space="preserve">valg ved diagnose, vil </w:t>
      </w:r>
      <w:r w:rsidR="00B5117C">
        <w:rPr>
          <w:rFonts w:ascii="Arial" w:eastAsia="Times New Roman" w:hAnsi="Arial" w:cs="Arial"/>
          <w:sz w:val="24"/>
          <w:szCs w:val="24"/>
        </w:rPr>
        <w:t xml:space="preserve">allikevel </w:t>
      </w:r>
      <w:r w:rsidRPr="006F15EF">
        <w:rPr>
          <w:rFonts w:ascii="Arial" w:eastAsia="Times New Roman" w:hAnsi="Arial" w:cs="Arial"/>
          <w:sz w:val="24"/>
          <w:szCs w:val="24"/>
        </w:rPr>
        <w:t xml:space="preserve">de fleste pasienter måtte behandles livslangt med TKI. </w:t>
      </w:r>
    </w:p>
    <w:p w14:paraId="221E5667"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7E637916" w14:textId="338054A9" w:rsidR="006F15EF" w:rsidRPr="006F15EF" w:rsidRDefault="006F15EF" w:rsidP="00DC7C84">
      <w:pPr>
        <w:widowControl w:val="0"/>
        <w:spacing w:after="0" w:line="240" w:lineRule="auto"/>
        <w:ind w:left="567"/>
        <w:rPr>
          <w:rFonts w:ascii="Arial" w:eastAsia="Times New Roman" w:hAnsi="Arial" w:cs="Arial"/>
          <w:b/>
          <w:bCs/>
          <w:i/>
          <w:iCs/>
          <w:sz w:val="24"/>
          <w:szCs w:val="24"/>
        </w:rPr>
      </w:pPr>
      <w:bookmarkStart w:id="22" w:name="_Toc365452287"/>
      <w:bookmarkStart w:id="23" w:name="_Toc438470530"/>
      <w:r w:rsidRPr="006F15EF">
        <w:rPr>
          <w:rFonts w:ascii="Arial" w:eastAsia="Times New Roman" w:hAnsi="Arial" w:cs="Arial"/>
          <w:b/>
          <w:bCs/>
          <w:i/>
          <w:iCs/>
          <w:sz w:val="24"/>
          <w:szCs w:val="24"/>
        </w:rPr>
        <w:t xml:space="preserve">Imatinib </w:t>
      </w:r>
      <w:bookmarkEnd w:id="22"/>
      <w:bookmarkEnd w:id="23"/>
    </w:p>
    <w:p w14:paraId="0B5EF4EE" w14:textId="31F52C4E"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 xml:space="preserve">Fusjonsproteinet bcr-abl er en konstitutivt aktiv tyrosinkinase som fosforylerer en rekke substrater involvert i KML-cellers vekst, differensiering og apoptose.  Hemming av bcr-abl griper i motsetning til cytostatika og interferon (IFN), direkte inn i sykdommens årsak. Den best utprøvde hemmeren er imatinib. Den har revolusjonert behandlingen av KML, tolereres godt og er godt dokumentert førstelinje-behandling (evidensgrad A) </w:t>
      </w:r>
      <w:r w:rsidRPr="006F15EF">
        <w:rPr>
          <w:rFonts w:ascii="Arial" w:eastAsia="Times New Roman" w:hAnsi="Arial" w:cs="Arial"/>
          <w:noProof/>
          <w:sz w:val="24"/>
          <w:szCs w:val="24"/>
        </w:rPr>
        <w:t>(4)</w:t>
      </w:r>
      <w:r w:rsidRPr="006F15EF">
        <w:rPr>
          <w:rFonts w:ascii="Arial" w:eastAsia="Times New Roman" w:hAnsi="Arial" w:cs="Arial"/>
          <w:sz w:val="24"/>
          <w:szCs w:val="24"/>
        </w:rPr>
        <w:t>.</w:t>
      </w:r>
      <w:r w:rsidR="00DB22D1">
        <w:rPr>
          <w:rFonts w:ascii="Arial" w:eastAsia="Times New Roman" w:hAnsi="Arial" w:cs="Arial"/>
          <w:sz w:val="24"/>
          <w:szCs w:val="24"/>
        </w:rPr>
        <w:t xml:space="preserve"> </w:t>
      </w:r>
      <w:r w:rsidRPr="006F15EF">
        <w:rPr>
          <w:rFonts w:ascii="Arial" w:eastAsia="Times New Roman" w:hAnsi="Arial" w:cs="Arial"/>
          <w:sz w:val="24"/>
          <w:szCs w:val="24"/>
        </w:rPr>
        <w:t>Ikke alle pasienter har optimal behandlingsrespons, en tredjedel vil trenge annen behandling i et 5-års perspektiv, grunnet resistens eller intoleranse/ bivirkninger</w:t>
      </w:r>
      <w:r w:rsidRPr="006F15EF">
        <w:rPr>
          <w:rFonts w:ascii="Arial" w:eastAsia="Times New Roman" w:hAnsi="Arial" w:cs="Arial"/>
          <w:noProof/>
          <w:sz w:val="24"/>
          <w:szCs w:val="24"/>
        </w:rPr>
        <w:t xml:space="preserve"> (4;9)</w:t>
      </w:r>
      <w:r w:rsidRPr="006F15EF">
        <w:rPr>
          <w:rFonts w:ascii="Arial" w:eastAsia="Times New Roman" w:hAnsi="Arial" w:cs="Arial"/>
          <w:sz w:val="24"/>
          <w:szCs w:val="24"/>
        </w:rPr>
        <w:t>.</w:t>
      </w:r>
      <w:r w:rsidR="00DC7C84">
        <w:rPr>
          <w:rFonts w:ascii="Arial" w:eastAsia="Times New Roman" w:hAnsi="Arial" w:cs="Arial"/>
          <w:sz w:val="24"/>
          <w:szCs w:val="24"/>
        </w:rPr>
        <w:t xml:space="preserve"> </w:t>
      </w:r>
      <w:r w:rsidRPr="006F15EF">
        <w:rPr>
          <w:rFonts w:ascii="Arial" w:eastAsia="Times New Roman" w:hAnsi="Arial" w:cs="Arial"/>
          <w:sz w:val="24"/>
          <w:szCs w:val="24"/>
        </w:rPr>
        <w:t>Imatinib er registrert i Norge til behandling av voksne pasienter med Ph+ og / eller BCR-ABL-positiv KML i alle sykdomsfaser</w:t>
      </w:r>
      <w:r w:rsidR="00277299">
        <w:rPr>
          <w:rFonts w:ascii="Arial" w:eastAsia="Times New Roman" w:hAnsi="Arial" w:cs="Arial"/>
          <w:sz w:val="24"/>
          <w:szCs w:val="24"/>
        </w:rPr>
        <w:t xml:space="preserve"> og er generisk legemiddel</w:t>
      </w:r>
      <w:r w:rsidRPr="006F15EF">
        <w:rPr>
          <w:rFonts w:ascii="Arial" w:eastAsia="Times New Roman" w:hAnsi="Arial" w:cs="Arial"/>
          <w:sz w:val="24"/>
          <w:szCs w:val="24"/>
        </w:rPr>
        <w:t xml:space="preserve">. Anbefalt dose er 400 mg/dag i kronisk fase. </w:t>
      </w:r>
      <w:r w:rsidR="00DC7C84">
        <w:rPr>
          <w:rFonts w:ascii="Arial" w:eastAsia="Times New Roman" w:hAnsi="Arial" w:cs="Arial"/>
          <w:sz w:val="24"/>
          <w:szCs w:val="24"/>
        </w:rPr>
        <w:t>H</w:t>
      </w:r>
      <w:r w:rsidRPr="006F15EF">
        <w:rPr>
          <w:rFonts w:ascii="Arial" w:eastAsia="Times New Roman" w:hAnsi="Arial" w:cs="Arial"/>
          <w:sz w:val="24"/>
          <w:szCs w:val="24"/>
        </w:rPr>
        <w:t xml:space="preserve">øyere initialdose enn 400 mg gir raskere </w:t>
      </w:r>
      <w:r w:rsidR="00DC7C84">
        <w:rPr>
          <w:rFonts w:ascii="Arial" w:eastAsia="Times New Roman" w:hAnsi="Arial" w:cs="Arial"/>
          <w:sz w:val="24"/>
          <w:szCs w:val="24"/>
        </w:rPr>
        <w:t xml:space="preserve">tidlige </w:t>
      </w:r>
      <w:r w:rsidRPr="006F15EF">
        <w:rPr>
          <w:rFonts w:ascii="Arial" w:eastAsia="Times New Roman" w:hAnsi="Arial" w:cs="Arial"/>
          <w:sz w:val="24"/>
          <w:szCs w:val="24"/>
        </w:rPr>
        <w:t xml:space="preserve">responser i kronisk fase, men andelen gode respondere blir like i gruppene med tiden. </w:t>
      </w:r>
    </w:p>
    <w:p w14:paraId="54E6F2F3" w14:textId="550A900A" w:rsidR="006F15EF" w:rsidRPr="006F15EF" w:rsidRDefault="006F15EF" w:rsidP="006F15EF">
      <w:pPr>
        <w:keepNext/>
        <w:widowControl w:val="0"/>
        <w:numPr>
          <w:ilvl w:val="2"/>
          <w:numId w:val="1"/>
        </w:numPr>
        <w:tabs>
          <w:tab w:val="left" w:pos="1418"/>
        </w:tabs>
        <w:spacing w:before="200" w:after="200" w:line="240" w:lineRule="auto"/>
        <w:ind w:left="1080"/>
        <w:outlineLvl w:val="2"/>
        <w:rPr>
          <w:rFonts w:ascii="Arial" w:eastAsia="Times New Roman" w:hAnsi="Arial" w:cs="Arial"/>
          <w:b/>
          <w:bCs/>
          <w:i/>
          <w:iCs/>
          <w:sz w:val="24"/>
          <w:szCs w:val="24"/>
        </w:rPr>
      </w:pPr>
      <w:bookmarkStart w:id="24" w:name="_Toc365452288"/>
      <w:bookmarkStart w:id="25" w:name="_Toc438470531"/>
      <w:r w:rsidRPr="006F15EF">
        <w:rPr>
          <w:rFonts w:ascii="Arial" w:eastAsia="Times New Roman" w:hAnsi="Arial" w:cs="Arial"/>
          <w:b/>
          <w:bCs/>
          <w:i/>
          <w:iCs/>
          <w:sz w:val="24"/>
          <w:szCs w:val="24"/>
        </w:rPr>
        <w:t>2TKI (dasatinib</w:t>
      </w:r>
      <w:r w:rsidR="00175CCD">
        <w:rPr>
          <w:rFonts w:ascii="Arial" w:eastAsia="Times New Roman" w:hAnsi="Arial" w:cs="Arial"/>
          <w:b/>
          <w:bCs/>
          <w:i/>
          <w:iCs/>
          <w:sz w:val="24"/>
          <w:szCs w:val="24"/>
        </w:rPr>
        <w:t>,</w:t>
      </w:r>
      <w:r w:rsidRPr="006F15EF">
        <w:rPr>
          <w:rFonts w:ascii="Arial" w:eastAsia="Times New Roman" w:hAnsi="Arial" w:cs="Arial"/>
          <w:b/>
          <w:bCs/>
          <w:i/>
          <w:iCs/>
          <w:sz w:val="24"/>
          <w:szCs w:val="24"/>
        </w:rPr>
        <w:t xml:space="preserve"> nilotinib</w:t>
      </w:r>
      <w:r w:rsidR="00406D32">
        <w:rPr>
          <w:rFonts w:ascii="Arial" w:eastAsia="Times New Roman" w:hAnsi="Arial" w:cs="Arial"/>
          <w:b/>
          <w:bCs/>
          <w:i/>
          <w:iCs/>
          <w:sz w:val="24"/>
          <w:szCs w:val="24"/>
        </w:rPr>
        <w:t xml:space="preserve"> og bosutinib</w:t>
      </w:r>
      <w:r w:rsidRPr="006F15EF">
        <w:rPr>
          <w:rFonts w:ascii="Arial" w:eastAsia="Times New Roman" w:hAnsi="Arial" w:cs="Arial"/>
          <w:b/>
          <w:bCs/>
          <w:i/>
          <w:iCs/>
          <w:sz w:val="24"/>
          <w:szCs w:val="24"/>
        </w:rPr>
        <w:t>) i 1.linje</w:t>
      </w:r>
      <w:bookmarkEnd w:id="24"/>
      <w:bookmarkEnd w:id="25"/>
    </w:p>
    <w:p w14:paraId="05EB83CE" w14:textId="5CF75A66" w:rsidR="00406D32"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Effekt og bivirkninger av både dasatinib nilotinib</w:t>
      </w:r>
      <w:r w:rsidR="00406D32">
        <w:rPr>
          <w:rFonts w:ascii="Arial" w:eastAsia="Times New Roman" w:hAnsi="Arial" w:cs="Arial"/>
          <w:sz w:val="24"/>
          <w:szCs w:val="24"/>
        </w:rPr>
        <w:t xml:space="preserve"> og bosutinib</w:t>
      </w:r>
      <w:r w:rsidRPr="006F15EF">
        <w:rPr>
          <w:rFonts w:ascii="Arial" w:eastAsia="Times New Roman" w:hAnsi="Arial" w:cs="Arial"/>
          <w:sz w:val="24"/>
          <w:szCs w:val="24"/>
        </w:rPr>
        <w:t xml:space="preserve"> er sammenlignet med imatinib ved nydiagnostisert KML i kronisk fase </w:t>
      </w:r>
      <w:r w:rsidRPr="006F15EF">
        <w:rPr>
          <w:rFonts w:ascii="Arial" w:eastAsia="Times New Roman" w:hAnsi="Arial" w:cs="Arial"/>
          <w:noProof/>
          <w:sz w:val="24"/>
          <w:szCs w:val="24"/>
        </w:rPr>
        <w:t>(10;</w:t>
      </w:r>
      <w:commentRangeStart w:id="26"/>
      <w:r w:rsidRPr="006F15EF">
        <w:rPr>
          <w:rFonts w:ascii="Arial" w:eastAsia="Times New Roman" w:hAnsi="Arial" w:cs="Arial"/>
          <w:noProof/>
          <w:sz w:val="24"/>
          <w:szCs w:val="24"/>
        </w:rPr>
        <w:t>11</w:t>
      </w:r>
      <w:commentRangeEnd w:id="26"/>
      <w:r w:rsidR="00406D32">
        <w:rPr>
          <w:rStyle w:val="CommentReference"/>
        </w:rPr>
        <w:commentReference w:id="26"/>
      </w:r>
      <w:r w:rsidRPr="006F15EF">
        <w:rPr>
          <w:rFonts w:ascii="Arial" w:eastAsia="Times New Roman" w:hAnsi="Arial" w:cs="Arial"/>
          <w:noProof/>
          <w:sz w:val="24"/>
          <w:szCs w:val="24"/>
        </w:rPr>
        <w:t>)</w:t>
      </w:r>
      <w:r w:rsidRPr="006F15EF">
        <w:rPr>
          <w:rFonts w:ascii="Arial" w:eastAsia="Times New Roman" w:hAnsi="Arial" w:cs="Arial"/>
          <w:sz w:val="24"/>
          <w:szCs w:val="24"/>
        </w:rPr>
        <w:t xml:space="preserve">.  </w:t>
      </w:r>
      <w:r w:rsidR="00406D32">
        <w:rPr>
          <w:rFonts w:ascii="Arial" w:eastAsia="Times New Roman" w:hAnsi="Arial" w:cs="Arial"/>
          <w:sz w:val="24"/>
          <w:szCs w:val="24"/>
        </w:rPr>
        <w:t>All</w:t>
      </w:r>
      <w:r w:rsidR="00406D32" w:rsidRPr="006F15EF">
        <w:rPr>
          <w:rFonts w:ascii="Arial" w:eastAsia="Times New Roman" w:hAnsi="Arial" w:cs="Arial"/>
          <w:sz w:val="24"/>
          <w:szCs w:val="24"/>
        </w:rPr>
        <w:t xml:space="preserve">e </w:t>
      </w:r>
      <w:r w:rsidRPr="006F15EF">
        <w:rPr>
          <w:rFonts w:ascii="Arial" w:eastAsia="Times New Roman" w:hAnsi="Arial" w:cs="Arial"/>
          <w:sz w:val="24"/>
          <w:szCs w:val="24"/>
        </w:rPr>
        <w:t xml:space="preserve">midler gir raskere og dypere responser enn imatinib, molekylært og cytogenetisk. 2TKI </w:t>
      </w:r>
      <w:r w:rsidR="00406D32">
        <w:rPr>
          <w:rFonts w:ascii="Arial" w:eastAsia="Times New Roman" w:hAnsi="Arial" w:cs="Arial"/>
          <w:sz w:val="24"/>
          <w:szCs w:val="24"/>
        </w:rPr>
        <w:t>øk</w:t>
      </w:r>
      <w:r w:rsidR="00406D32" w:rsidRPr="006F15EF">
        <w:rPr>
          <w:rFonts w:ascii="Arial" w:eastAsia="Times New Roman" w:hAnsi="Arial" w:cs="Arial"/>
          <w:sz w:val="24"/>
          <w:szCs w:val="24"/>
        </w:rPr>
        <w:t xml:space="preserve">er </w:t>
      </w:r>
      <w:r w:rsidRPr="006F15EF">
        <w:rPr>
          <w:rFonts w:ascii="Arial" w:eastAsia="Times New Roman" w:hAnsi="Arial" w:cs="Arial"/>
          <w:sz w:val="24"/>
          <w:szCs w:val="24"/>
        </w:rPr>
        <w:t xml:space="preserve">andel pasienter med udetekterbar sykdom. </w:t>
      </w:r>
      <w:r w:rsidR="00E03BBB">
        <w:rPr>
          <w:rFonts w:ascii="Arial" w:eastAsia="Times New Roman" w:hAnsi="Arial" w:cs="Arial"/>
          <w:sz w:val="24"/>
          <w:szCs w:val="24"/>
        </w:rPr>
        <w:t>Dette kan være et poeng hos pasienter med høyrisiko sykdom, eller yngre pasienter der behandlingsfri remisjon (TFR) er et viktig mål.</w:t>
      </w:r>
      <w:r w:rsidR="00406D32">
        <w:rPr>
          <w:rFonts w:ascii="Arial" w:eastAsia="Times New Roman" w:hAnsi="Arial" w:cs="Arial"/>
          <w:sz w:val="24"/>
          <w:szCs w:val="24"/>
        </w:rPr>
        <w:t xml:space="preserve"> Spesielt unge kvinner med fertilitetsønske er gode kandidater for å få 2TKI fremfor imatinib for å ha størst mulig sjanse til å gjennomføre graviditet</w:t>
      </w:r>
      <w:r w:rsidR="00227485">
        <w:rPr>
          <w:rFonts w:ascii="Arial" w:eastAsia="Times New Roman" w:hAnsi="Arial" w:cs="Arial"/>
          <w:sz w:val="24"/>
          <w:szCs w:val="24"/>
        </w:rPr>
        <w:t xml:space="preserve"> i TFR</w:t>
      </w:r>
      <w:r w:rsidRPr="006F15EF">
        <w:rPr>
          <w:rFonts w:ascii="Arial" w:eastAsia="Times New Roman" w:hAnsi="Arial" w:cs="Arial"/>
          <w:sz w:val="24"/>
          <w:szCs w:val="24"/>
        </w:rPr>
        <w:t xml:space="preserve">. Det er ingen sikker overlevelsesforskjell sammenliknet med imatinib, men litt færre progresjoner til avansert fase (ca 1-2% mot ca 4% første år). </w:t>
      </w:r>
      <w:r w:rsidR="00406D32">
        <w:rPr>
          <w:rFonts w:ascii="Arial" w:eastAsia="Times New Roman" w:hAnsi="Arial" w:cs="Arial"/>
          <w:sz w:val="24"/>
          <w:szCs w:val="24"/>
        </w:rPr>
        <w:t>All</w:t>
      </w:r>
      <w:r w:rsidR="00406D32" w:rsidRPr="006F15EF">
        <w:rPr>
          <w:rFonts w:ascii="Arial" w:eastAsia="Times New Roman" w:hAnsi="Arial" w:cs="Arial"/>
          <w:sz w:val="24"/>
          <w:szCs w:val="24"/>
        </w:rPr>
        <w:t xml:space="preserve">e </w:t>
      </w:r>
      <w:r w:rsidRPr="006F15EF">
        <w:rPr>
          <w:rFonts w:ascii="Arial" w:eastAsia="Times New Roman" w:hAnsi="Arial" w:cs="Arial"/>
          <w:sz w:val="24"/>
          <w:szCs w:val="24"/>
        </w:rPr>
        <w:t xml:space="preserve">midler er godkjent av Statens legemiddelverk til bruk i første linje.  </w:t>
      </w:r>
      <w:r w:rsidR="00DB22D1">
        <w:rPr>
          <w:rFonts w:ascii="Arial" w:eastAsia="Times New Roman" w:hAnsi="Arial" w:cs="Arial"/>
          <w:sz w:val="24"/>
          <w:szCs w:val="24"/>
        </w:rPr>
        <w:t>Alle</w:t>
      </w:r>
      <w:r w:rsidR="00DB22D1" w:rsidRPr="006F15EF">
        <w:rPr>
          <w:rFonts w:ascii="Arial" w:eastAsia="Times New Roman" w:hAnsi="Arial" w:cs="Arial"/>
          <w:sz w:val="24"/>
          <w:szCs w:val="24"/>
        </w:rPr>
        <w:t xml:space="preserve"> </w:t>
      </w:r>
      <w:r w:rsidRPr="006F15EF">
        <w:rPr>
          <w:rFonts w:ascii="Arial" w:eastAsia="Times New Roman" w:hAnsi="Arial" w:cs="Arial"/>
          <w:sz w:val="24"/>
          <w:szCs w:val="24"/>
        </w:rPr>
        <w:t>medikamentene har noen mulig alvorligere bivirkninger (se avsnitt under). Man står altså relativt fritt (evidensgrad A) i valg av behandling i 1. linje med dasatinib, imatinib</w:t>
      </w:r>
      <w:r w:rsidR="00406D32">
        <w:rPr>
          <w:rFonts w:ascii="Arial" w:eastAsia="Times New Roman" w:hAnsi="Arial" w:cs="Arial"/>
          <w:sz w:val="24"/>
          <w:szCs w:val="24"/>
        </w:rPr>
        <w:t xml:space="preserve">, </w:t>
      </w:r>
      <w:r w:rsidRPr="006F15EF">
        <w:rPr>
          <w:rFonts w:ascii="Arial" w:eastAsia="Times New Roman" w:hAnsi="Arial" w:cs="Arial"/>
          <w:sz w:val="24"/>
          <w:szCs w:val="24"/>
        </w:rPr>
        <w:t>nilotinib</w:t>
      </w:r>
      <w:r w:rsidR="00406D32">
        <w:rPr>
          <w:rFonts w:ascii="Arial" w:eastAsia="Times New Roman" w:hAnsi="Arial" w:cs="Arial"/>
          <w:sz w:val="24"/>
          <w:szCs w:val="24"/>
        </w:rPr>
        <w:t xml:space="preserve"> og </w:t>
      </w:r>
      <w:r w:rsidR="00DB22D1">
        <w:rPr>
          <w:rFonts w:ascii="Arial" w:eastAsia="Times New Roman" w:hAnsi="Arial" w:cs="Arial"/>
          <w:sz w:val="24"/>
          <w:szCs w:val="24"/>
        </w:rPr>
        <w:t>bo</w:t>
      </w:r>
      <w:r w:rsidR="00406D32">
        <w:rPr>
          <w:rFonts w:ascii="Arial" w:eastAsia="Times New Roman" w:hAnsi="Arial" w:cs="Arial"/>
          <w:sz w:val="24"/>
          <w:szCs w:val="24"/>
        </w:rPr>
        <w:t>s</w:t>
      </w:r>
      <w:r w:rsidR="00DB22D1">
        <w:rPr>
          <w:rFonts w:ascii="Arial" w:eastAsia="Times New Roman" w:hAnsi="Arial" w:cs="Arial"/>
          <w:sz w:val="24"/>
          <w:szCs w:val="24"/>
        </w:rPr>
        <w:t>u</w:t>
      </w:r>
      <w:r w:rsidR="00406D32">
        <w:rPr>
          <w:rFonts w:ascii="Arial" w:eastAsia="Times New Roman" w:hAnsi="Arial" w:cs="Arial"/>
          <w:sz w:val="24"/>
          <w:szCs w:val="24"/>
        </w:rPr>
        <w:t>tinib</w:t>
      </w:r>
      <w:r w:rsidR="00DC7C84">
        <w:rPr>
          <w:rFonts w:ascii="Arial" w:eastAsia="Times New Roman" w:hAnsi="Arial" w:cs="Arial"/>
          <w:sz w:val="24"/>
          <w:szCs w:val="24"/>
        </w:rPr>
        <w:t>, men i</w:t>
      </w:r>
      <w:r w:rsidRPr="006F15EF">
        <w:rPr>
          <w:rFonts w:ascii="Arial" w:eastAsia="Times New Roman" w:hAnsi="Arial" w:cs="Arial"/>
          <w:sz w:val="24"/>
          <w:szCs w:val="24"/>
        </w:rPr>
        <w:t xml:space="preserve">matinib er fortsatt meget effektivt, sikkert og velkjent for </w:t>
      </w:r>
      <w:r w:rsidRPr="006F15EF">
        <w:rPr>
          <w:rFonts w:ascii="Arial" w:eastAsia="Times New Roman" w:hAnsi="Arial" w:cs="Arial"/>
          <w:sz w:val="24"/>
          <w:szCs w:val="24"/>
        </w:rPr>
        <w:lastRenderedPageBreak/>
        <w:t>hematologe</w:t>
      </w:r>
      <w:r w:rsidR="00DC7C84">
        <w:rPr>
          <w:rFonts w:ascii="Arial" w:eastAsia="Times New Roman" w:hAnsi="Arial" w:cs="Arial"/>
          <w:sz w:val="24"/>
          <w:szCs w:val="24"/>
        </w:rPr>
        <w:t>ne</w:t>
      </w:r>
    </w:p>
    <w:p w14:paraId="36B7D706" w14:textId="77777777" w:rsidR="00406D32" w:rsidRDefault="00406D32" w:rsidP="006F15EF">
      <w:pPr>
        <w:widowControl w:val="0"/>
        <w:spacing w:after="0" w:line="240" w:lineRule="auto"/>
        <w:ind w:left="567"/>
        <w:rPr>
          <w:rFonts w:ascii="Arial" w:eastAsia="Times New Roman" w:hAnsi="Arial" w:cs="Arial"/>
          <w:sz w:val="24"/>
          <w:szCs w:val="24"/>
        </w:rPr>
      </w:pPr>
    </w:p>
    <w:p w14:paraId="3B033FBA" w14:textId="640C90CA" w:rsidR="006F15EF" w:rsidRDefault="00E46F4A" w:rsidP="006F15EF">
      <w:pPr>
        <w:widowControl w:val="0"/>
        <w:spacing w:after="0" w:line="240" w:lineRule="auto"/>
        <w:ind w:left="567"/>
        <w:rPr>
          <w:rFonts w:ascii="Arial" w:eastAsia="Times New Roman" w:hAnsi="Arial" w:cs="Arial"/>
          <w:sz w:val="24"/>
          <w:szCs w:val="24"/>
        </w:rPr>
      </w:pPr>
      <w:r>
        <w:rPr>
          <w:rFonts w:ascii="Arial" w:eastAsia="Times New Roman" w:hAnsi="Arial" w:cs="Arial"/>
          <w:b/>
          <w:sz w:val="24"/>
          <w:szCs w:val="24"/>
        </w:rPr>
        <w:t>Om p</w:t>
      </w:r>
      <w:r w:rsidR="00406D32" w:rsidRPr="00C01AF6">
        <w:rPr>
          <w:rFonts w:ascii="Arial" w:eastAsia="Times New Roman" w:hAnsi="Arial" w:cs="Arial"/>
          <w:b/>
          <w:sz w:val="24"/>
          <w:szCs w:val="24"/>
        </w:rPr>
        <w:t>ris for legemidler</w:t>
      </w:r>
      <w:r w:rsidR="00406D32" w:rsidRPr="00293EAF">
        <w:rPr>
          <w:rFonts w:ascii="Arial" w:eastAsia="Times New Roman" w:hAnsi="Arial" w:cs="Arial"/>
          <w:bCs/>
          <w:sz w:val="24"/>
          <w:szCs w:val="24"/>
        </w:rPr>
        <w:t>:</w:t>
      </w:r>
      <w:r w:rsidR="00293EAF" w:rsidRPr="00C01AF6">
        <w:rPr>
          <w:rFonts w:ascii="Arial" w:eastAsia="Times New Roman" w:hAnsi="Arial" w:cs="Arial"/>
          <w:bCs/>
          <w:sz w:val="24"/>
          <w:szCs w:val="24"/>
        </w:rPr>
        <w:t xml:space="preserve"> TKI forskrives på H-resept.</w:t>
      </w:r>
      <w:r w:rsidR="00406D32">
        <w:rPr>
          <w:rFonts w:ascii="Arial" w:eastAsia="Times New Roman" w:hAnsi="Arial" w:cs="Arial"/>
          <w:sz w:val="24"/>
          <w:szCs w:val="24"/>
        </w:rPr>
        <w:t xml:space="preserve"> Imatinib er generisk</w:t>
      </w:r>
      <w:r w:rsidR="00891626">
        <w:rPr>
          <w:rFonts w:ascii="Arial" w:eastAsia="Times New Roman" w:hAnsi="Arial" w:cs="Arial"/>
          <w:sz w:val="24"/>
          <w:szCs w:val="24"/>
        </w:rPr>
        <w:t xml:space="preserve"> og er det kostnadseffektive alternativet</w:t>
      </w:r>
      <w:r w:rsidR="00406D32">
        <w:rPr>
          <w:rFonts w:ascii="Arial" w:eastAsia="Times New Roman" w:hAnsi="Arial" w:cs="Arial"/>
          <w:sz w:val="24"/>
          <w:szCs w:val="24"/>
        </w:rPr>
        <w:t>. I siste anbudsrunde</w:t>
      </w:r>
      <w:r>
        <w:rPr>
          <w:rFonts w:ascii="Arial" w:eastAsia="Times New Roman" w:hAnsi="Arial" w:cs="Arial"/>
          <w:sz w:val="24"/>
          <w:szCs w:val="24"/>
        </w:rPr>
        <w:t xml:space="preserve"> </w:t>
      </w:r>
      <w:r w:rsidR="00406D32">
        <w:rPr>
          <w:rFonts w:ascii="Arial" w:eastAsia="Times New Roman" w:hAnsi="Arial" w:cs="Arial"/>
          <w:sz w:val="24"/>
          <w:szCs w:val="24"/>
        </w:rPr>
        <w:t xml:space="preserve">var «Imatinib </w:t>
      </w:r>
      <w:r w:rsidR="00293EAF">
        <w:rPr>
          <w:rFonts w:ascii="Arial" w:eastAsia="Times New Roman" w:hAnsi="Arial" w:cs="Arial"/>
          <w:sz w:val="24"/>
          <w:szCs w:val="24"/>
        </w:rPr>
        <w:t>Accord</w:t>
      </w:r>
      <w:r w:rsidR="00406D32">
        <w:rPr>
          <w:rFonts w:ascii="Arial" w:eastAsia="Times New Roman" w:hAnsi="Arial" w:cs="Arial"/>
          <w:sz w:val="24"/>
          <w:szCs w:val="24"/>
        </w:rPr>
        <w:t xml:space="preserve">» rimeligst og foretrukket. Forskrivere skal være oppmerksom på at det ved H-resept ikke </w:t>
      </w:r>
      <w:r w:rsidR="00C01AF6">
        <w:rPr>
          <w:rFonts w:ascii="Arial" w:eastAsia="Times New Roman" w:hAnsi="Arial" w:cs="Arial"/>
          <w:sz w:val="24"/>
          <w:szCs w:val="24"/>
        </w:rPr>
        <w:t xml:space="preserve">finnes </w:t>
      </w:r>
      <w:r w:rsidR="00406D32">
        <w:rPr>
          <w:rFonts w:ascii="Arial" w:eastAsia="Times New Roman" w:hAnsi="Arial" w:cs="Arial"/>
          <w:sz w:val="24"/>
          <w:szCs w:val="24"/>
        </w:rPr>
        <w:t>noen ordning for utlevering av billigste alternativ</w:t>
      </w:r>
      <w:r>
        <w:rPr>
          <w:rFonts w:ascii="Arial" w:eastAsia="Times New Roman" w:hAnsi="Arial" w:cs="Arial"/>
          <w:sz w:val="24"/>
          <w:szCs w:val="24"/>
        </w:rPr>
        <w:t>, slik at man må skrive resepten på det</w:t>
      </w:r>
      <w:r w:rsidR="00293EAF">
        <w:rPr>
          <w:rFonts w:ascii="Arial" w:eastAsia="Times New Roman" w:hAnsi="Arial" w:cs="Arial"/>
          <w:sz w:val="24"/>
          <w:szCs w:val="24"/>
        </w:rPr>
        <w:t xml:space="preserve"> eksakte</w:t>
      </w:r>
      <w:r>
        <w:rPr>
          <w:rFonts w:ascii="Arial" w:eastAsia="Times New Roman" w:hAnsi="Arial" w:cs="Arial"/>
          <w:sz w:val="24"/>
          <w:szCs w:val="24"/>
        </w:rPr>
        <w:t xml:space="preserve"> preparatet man mener at pasienten skal ha.</w:t>
      </w:r>
      <w:r w:rsidR="00293EAF">
        <w:rPr>
          <w:rFonts w:ascii="Arial" w:eastAsia="Times New Roman" w:hAnsi="Arial" w:cs="Arial"/>
          <w:sz w:val="24"/>
          <w:szCs w:val="24"/>
        </w:rPr>
        <w:t xml:space="preserve"> Prisene på imatinib-</w:t>
      </w:r>
      <w:r w:rsidR="00891626">
        <w:rPr>
          <w:rFonts w:ascii="Arial" w:eastAsia="Times New Roman" w:hAnsi="Arial" w:cs="Arial"/>
          <w:sz w:val="24"/>
          <w:szCs w:val="24"/>
        </w:rPr>
        <w:t xml:space="preserve">generika </w:t>
      </w:r>
      <w:r w:rsidR="00293EAF">
        <w:rPr>
          <w:rFonts w:ascii="Arial" w:eastAsia="Times New Roman" w:hAnsi="Arial" w:cs="Arial"/>
          <w:sz w:val="24"/>
          <w:szCs w:val="24"/>
        </w:rPr>
        <w:t>varierer betydelig.</w:t>
      </w:r>
      <w:r>
        <w:rPr>
          <w:rFonts w:ascii="Arial" w:eastAsia="Times New Roman" w:hAnsi="Arial" w:cs="Arial"/>
          <w:sz w:val="24"/>
          <w:szCs w:val="24"/>
        </w:rPr>
        <w:t xml:space="preserve"> Apotekene tjener bedre på å utlevere </w:t>
      </w:r>
      <w:r w:rsidR="00293EAF">
        <w:rPr>
          <w:rFonts w:ascii="Arial" w:eastAsia="Times New Roman" w:hAnsi="Arial" w:cs="Arial"/>
          <w:sz w:val="24"/>
          <w:szCs w:val="24"/>
        </w:rPr>
        <w:t>dyre</w:t>
      </w:r>
      <w:r>
        <w:rPr>
          <w:rFonts w:ascii="Arial" w:eastAsia="Times New Roman" w:hAnsi="Arial" w:cs="Arial"/>
          <w:sz w:val="24"/>
          <w:szCs w:val="24"/>
        </w:rPr>
        <w:t xml:space="preserve">re varianter. Bare spesielle grunner må foreligge for å velge annet enn rimeligste alternativ. </w:t>
      </w:r>
      <w:r w:rsidR="00293EAF">
        <w:rPr>
          <w:rFonts w:ascii="Arial" w:eastAsia="Times New Roman" w:hAnsi="Arial" w:cs="Arial"/>
          <w:sz w:val="24"/>
          <w:szCs w:val="24"/>
        </w:rPr>
        <w:t>S</w:t>
      </w:r>
      <w:r w:rsidR="00406D32">
        <w:rPr>
          <w:rFonts w:ascii="Arial" w:eastAsia="Times New Roman" w:hAnsi="Arial" w:cs="Arial"/>
          <w:sz w:val="24"/>
          <w:szCs w:val="24"/>
        </w:rPr>
        <w:t>annsynligvis endres</w:t>
      </w:r>
      <w:r w:rsidR="00293EAF">
        <w:rPr>
          <w:rFonts w:ascii="Arial" w:eastAsia="Times New Roman" w:hAnsi="Arial" w:cs="Arial"/>
          <w:sz w:val="24"/>
          <w:szCs w:val="24"/>
        </w:rPr>
        <w:t xml:space="preserve"> vilkårene</w:t>
      </w:r>
      <w:r w:rsidR="00406D32">
        <w:rPr>
          <w:rFonts w:ascii="Arial" w:eastAsia="Times New Roman" w:hAnsi="Arial" w:cs="Arial"/>
          <w:sz w:val="24"/>
          <w:szCs w:val="24"/>
        </w:rPr>
        <w:t xml:space="preserve"> ved neste anbud</w:t>
      </w:r>
      <w:r w:rsidR="00293EAF">
        <w:rPr>
          <w:rFonts w:ascii="Arial" w:eastAsia="Times New Roman" w:hAnsi="Arial" w:cs="Arial"/>
          <w:sz w:val="24"/>
          <w:szCs w:val="24"/>
        </w:rPr>
        <w:t xml:space="preserve"> og</w:t>
      </w:r>
      <w:r w:rsidR="00C01AF6">
        <w:rPr>
          <w:rFonts w:ascii="Arial" w:eastAsia="Times New Roman" w:hAnsi="Arial" w:cs="Arial"/>
          <w:sz w:val="24"/>
          <w:szCs w:val="24"/>
        </w:rPr>
        <w:t xml:space="preserve"> foreløpig må</w:t>
      </w:r>
      <w:r w:rsidR="00293EAF">
        <w:rPr>
          <w:rFonts w:ascii="Arial" w:eastAsia="Times New Roman" w:hAnsi="Arial" w:cs="Arial"/>
          <w:sz w:val="24"/>
          <w:szCs w:val="24"/>
        </w:rPr>
        <w:t xml:space="preserve"> den enkelte lege følge med på prislistene og endre </w:t>
      </w:r>
      <w:r w:rsidR="0031694C">
        <w:rPr>
          <w:rFonts w:ascii="Arial" w:eastAsia="Times New Roman" w:hAnsi="Arial" w:cs="Arial"/>
          <w:sz w:val="24"/>
          <w:szCs w:val="24"/>
        </w:rPr>
        <w:t>til billigste variant</w:t>
      </w:r>
      <w:r w:rsidR="00293EAF">
        <w:rPr>
          <w:rFonts w:ascii="Arial" w:eastAsia="Times New Roman" w:hAnsi="Arial" w:cs="Arial"/>
          <w:sz w:val="24"/>
          <w:szCs w:val="24"/>
        </w:rPr>
        <w:t xml:space="preserve">. </w:t>
      </w:r>
      <w:r w:rsidR="00C01AF6">
        <w:rPr>
          <w:rFonts w:ascii="Arial" w:eastAsia="Times New Roman" w:hAnsi="Arial" w:cs="Arial"/>
          <w:sz w:val="24"/>
          <w:szCs w:val="24"/>
        </w:rPr>
        <w:t>Som eksempel kan nevnes at e</w:t>
      </w:r>
      <w:r w:rsidR="00293EAF">
        <w:rPr>
          <w:rFonts w:ascii="Arial" w:eastAsia="Times New Roman" w:hAnsi="Arial" w:cs="Arial"/>
          <w:sz w:val="24"/>
          <w:szCs w:val="24"/>
        </w:rPr>
        <w:t>n produsent har</w:t>
      </w:r>
      <w:r w:rsidR="00891626">
        <w:rPr>
          <w:rFonts w:ascii="Arial" w:eastAsia="Times New Roman" w:hAnsi="Arial" w:cs="Arial"/>
          <w:sz w:val="24"/>
          <w:szCs w:val="24"/>
        </w:rPr>
        <w:t xml:space="preserve"> vunnet anbudet</w:t>
      </w:r>
      <w:r w:rsidR="00293EAF">
        <w:rPr>
          <w:rFonts w:ascii="Arial" w:eastAsia="Times New Roman" w:hAnsi="Arial" w:cs="Arial"/>
          <w:sz w:val="24"/>
          <w:szCs w:val="24"/>
        </w:rPr>
        <w:t xml:space="preserve"> det ene året for </w:t>
      </w:r>
      <w:r w:rsidR="00C01AF6">
        <w:rPr>
          <w:rFonts w:ascii="Arial" w:eastAsia="Times New Roman" w:hAnsi="Arial" w:cs="Arial"/>
          <w:sz w:val="24"/>
          <w:szCs w:val="24"/>
        </w:rPr>
        <w:t>ved</w:t>
      </w:r>
      <w:r w:rsidR="00293EAF">
        <w:rPr>
          <w:rFonts w:ascii="Arial" w:eastAsia="Times New Roman" w:hAnsi="Arial" w:cs="Arial"/>
          <w:sz w:val="24"/>
          <w:szCs w:val="24"/>
        </w:rPr>
        <w:t xml:space="preserve"> neste å øke prisen 10-20 ganger</w:t>
      </w:r>
      <w:r w:rsidR="00891626">
        <w:rPr>
          <w:rFonts w:ascii="Arial" w:eastAsia="Times New Roman" w:hAnsi="Arial" w:cs="Arial"/>
          <w:sz w:val="24"/>
          <w:szCs w:val="24"/>
        </w:rPr>
        <w:t xml:space="preserve"> og håper nok på at legene skal glemme å bytte</w:t>
      </w:r>
      <w:r w:rsidR="00406D32">
        <w:rPr>
          <w:rFonts w:ascii="Arial" w:eastAsia="Times New Roman" w:hAnsi="Arial" w:cs="Arial"/>
          <w:sz w:val="24"/>
          <w:szCs w:val="24"/>
        </w:rPr>
        <w:t xml:space="preserve">. Foreløpig er </w:t>
      </w:r>
      <w:r>
        <w:rPr>
          <w:rFonts w:ascii="Arial" w:eastAsia="Times New Roman" w:hAnsi="Arial" w:cs="Arial"/>
          <w:sz w:val="24"/>
          <w:szCs w:val="24"/>
        </w:rPr>
        <w:t>n</w:t>
      </w:r>
      <w:r w:rsidR="00406D32">
        <w:rPr>
          <w:rFonts w:ascii="Arial" w:eastAsia="Times New Roman" w:hAnsi="Arial" w:cs="Arial"/>
          <w:sz w:val="24"/>
          <w:szCs w:val="24"/>
        </w:rPr>
        <w:t xml:space="preserve">ilotinib, </w:t>
      </w:r>
      <w:r>
        <w:rPr>
          <w:rFonts w:ascii="Arial" w:eastAsia="Times New Roman" w:hAnsi="Arial" w:cs="Arial"/>
          <w:sz w:val="24"/>
          <w:szCs w:val="24"/>
        </w:rPr>
        <w:t>b</w:t>
      </w:r>
      <w:r w:rsidR="00406D32">
        <w:rPr>
          <w:rFonts w:ascii="Arial" w:eastAsia="Times New Roman" w:hAnsi="Arial" w:cs="Arial"/>
          <w:sz w:val="24"/>
          <w:szCs w:val="24"/>
        </w:rPr>
        <w:t>osutinib og dasatinib bety</w:t>
      </w:r>
      <w:r>
        <w:rPr>
          <w:rFonts w:ascii="Arial" w:eastAsia="Times New Roman" w:hAnsi="Arial" w:cs="Arial"/>
          <w:sz w:val="24"/>
          <w:szCs w:val="24"/>
        </w:rPr>
        <w:t xml:space="preserve">delig dyrere med priser over </w:t>
      </w:r>
      <w:r w:rsidR="00C01AF6">
        <w:rPr>
          <w:rFonts w:ascii="Arial" w:eastAsia="Times New Roman" w:hAnsi="Arial" w:cs="Arial"/>
          <w:sz w:val="24"/>
          <w:szCs w:val="24"/>
        </w:rPr>
        <w:t>400</w:t>
      </w:r>
      <w:r>
        <w:rPr>
          <w:rFonts w:ascii="Arial" w:eastAsia="Times New Roman" w:hAnsi="Arial" w:cs="Arial"/>
          <w:sz w:val="24"/>
          <w:szCs w:val="24"/>
        </w:rPr>
        <w:t xml:space="preserve">.000/år. Dasatinib </w:t>
      </w:r>
      <w:r w:rsidR="00293EAF">
        <w:rPr>
          <w:rFonts w:ascii="Arial" w:eastAsia="Times New Roman" w:hAnsi="Arial" w:cs="Arial"/>
          <w:sz w:val="24"/>
          <w:szCs w:val="24"/>
        </w:rPr>
        <w:t>er også</w:t>
      </w:r>
      <w:r>
        <w:rPr>
          <w:rFonts w:ascii="Arial" w:eastAsia="Times New Roman" w:hAnsi="Arial" w:cs="Arial"/>
          <w:sz w:val="24"/>
          <w:szCs w:val="24"/>
        </w:rPr>
        <w:t xml:space="preserve"> generisk </w:t>
      </w:r>
      <w:r w:rsidR="00293EAF">
        <w:rPr>
          <w:rFonts w:ascii="Arial" w:eastAsia="Times New Roman" w:hAnsi="Arial" w:cs="Arial"/>
          <w:sz w:val="24"/>
          <w:szCs w:val="24"/>
        </w:rPr>
        <w:t xml:space="preserve">men har foreløpig </w:t>
      </w:r>
      <w:r w:rsidR="00C01AF6">
        <w:rPr>
          <w:rFonts w:ascii="Arial" w:eastAsia="Times New Roman" w:hAnsi="Arial" w:cs="Arial"/>
          <w:sz w:val="24"/>
          <w:szCs w:val="24"/>
        </w:rPr>
        <w:t xml:space="preserve">med </w:t>
      </w:r>
      <w:r w:rsidR="00293EAF">
        <w:rPr>
          <w:rFonts w:ascii="Arial" w:eastAsia="Times New Roman" w:hAnsi="Arial" w:cs="Arial"/>
          <w:sz w:val="24"/>
          <w:szCs w:val="24"/>
        </w:rPr>
        <w:t>samme pris som originalpreparatet</w:t>
      </w:r>
      <w:r>
        <w:rPr>
          <w:rFonts w:ascii="Arial" w:eastAsia="Times New Roman" w:hAnsi="Arial" w:cs="Arial"/>
          <w:sz w:val="24"/>
          <w:szCs w:val="24"/>
        </w:rPr>
        <w:t xml:space="preserve">. </w:t>
      </w:r>
    </w:p>
    <w:p w14:paraId="6B0C31D5" w14:textId="77777777" w:rsidR="00443CCE" w:rsidRPr="006F15EF" w:rsidRDefault="00443CCE" w:rsidP="00443CCE">
      <w:pPr>
        <w:widowControl w:val="0"/>
        <w:spacing w:after="0" w:line="240" w:lineRule="auto"/>
        <w:ind w:left="567"/>
        <w:rPr>
          <w:rFonts w:ascii="Arial" w:eastAsia="Times New Roman" w:hAnsi="Arial" w:cs="Arial"/>
          <w:sz w:val="24"/>
          <w:szCs w:val="24"/>
        </w:rPr>
      </w:pPr>
    </w:p>
    <w:p w14:paraId="4DE0BAE7" w14:textId="5F415883" w:rsidR="00443CCE" w:rsidRDefault="00443CCE" w:rsidP="00443CCE">
      <w:pPr>
        <w:widowControl w:val="0"/>
        <w:spacing w:after="0" w:line="240" w:lineRule="auto"/>
        <w:ind w:left="567"/>
        <w:jc w:val="both"/>
        <w:rPr>
          <w:rFonts w:ascii="Arial" w:eastAsia="Times New Roman" w:hAnsi="Arial" w:cs="Arial"/>
          <w:sz w:val="24"/>
          <w:szCs w:val="24"/>
        </w:rPr>
      </w:pPr>
      <w:r w:rsidRPr="006F15EF">
        <w:rPr>
          <w:rFonts w:ascii="Arial" w:eastAsia="Times New Roman" w:hAnsi="Arial" w:cs="Arial"/>
          <w:b/>
          <w:bCs/>
          <w:sz w:val="24"/>
          <w:szCs w:val="24"/>
        </w:rPr>
        <w:t>Nilotinib</w:t>
      </w:r>
      <w:r w:rsidRPr="006F15EF">
        <w:rPr>
          <w:rFonts w:ascii="Arial" w:eastAsia="Times New Roman" w:hAnsi="Arial" w:cs="Arial"/>
          <w:sz w:val="24"/>
          <w:szCs w:val="24"/>
        </w:rPr>
        <w:t xml:space="preserve"> (Tasigna®, Novartis): Nilotinib er registrert på indikasjonen KML i alle faser med imatinib intoleranse eller resistens, og også godkjent som førstelinjebehandling av KML i kronisk fase i dosen 300 mg x 2 </w:t>
      </w:r>
      <w:r w:rsidRPr="006F15EF">
        <w:rPr>
          <w:rFonts w:ascii="Arial" w:eastAsia="Times New Roman" w:hAnsi="Arial" w:cs="Arial"/>
          <w:noProof/>
          <w:sz w:val="24"/>
          <w:szCs w:val="24"/>
        </w:rPr>
        <w:t>(11)</w:t>
      </w:r>
      <w:r w:rsidRPr="006F15EF">
        <w:rPr>
          <w:rFonts w:ascii="Arial" w:eastAsia="Times New Roman" w:hAnsi="Arial" w:cs="Arial"/>
          <w:sz w:val="24"/>
          <w:szCs w:val="24"/>
        </w:rPr>
        <w:t xml:space="preserve">. </w:t>
      </w:r>
    </w:p>
    <w:p w14:paraId="416F19F1" w14:textId="77777777" w:rsidR="00443CCE" w:rsidRDefault="00443CCE" w:rsidP="00443CCE">
      <w:pPr>
        <w:widowControl w:val="0"/>
        <w:spacing w:after="0" w:line="240" w:lineRule="auto"/>
        <w:ind w:left="567"/>
        <w:jc w:val="both"/>
        <w:rPr>
          <w:rFonts w:ascii="Arial" w:eastAsia="Times New Roman" w:hAnsi="Arial" w:cs="Arial"/>
          <w:sz w:val="24"/>
          <w:szCs w:val="24"/>
        </w:rPr>
      </w:pPr>
    </w:p>
    <w:p w14:paraId="13A67787" w14:textId="5AA19CA2" w:rsidR="00581003" w:rsidRDefault="00443CCE" w:rsidP="00443CCE">
      <w:pPr>
        <w:widowControl w:val="0"/>
        <w:spacing w:after="0" w:line="240" w:lineRule="auto"/>
        <w:ind w:left="567"/>
        <w:jc w:val="both"/>
        <w:rPr>
          <w:rFonts w:ascii="Arial" w:eastAsia="Times New Roman" w:hAnsi="Arial" w:cs="Arial"/>
          <w:sz w:val="24"/>
          <w:szCs w:val="24"/>
        </w:rPr>
      </w:pPr>
      <w:r w:rsidRPr="006F15EF">
        <w:rPr>
          <w:rFonts w:ascii="Arial" w:eastAsia="Times New Roman" w:hAnsi="Arial" w:cs="Arial"/>
          <w:b/>
          <w:bCs/>
          <w:sz w:val="24"/>
          <w:szCs w:val="24"/>
        </w:rPr>
        <w:t>Dasatinib.</w:t>
      </w:r>
      <w:r w:rsidRPr="006F15EF">
        <w:rPr>
          <w:rFonts w:ascii="Arial" w:eastAsia="Times New Roman" w:hAnsi="Arial" w:cs="Arial"/>
          <w:sz w:val="24"/>
          <w:szCs w:val="24"/>
        </w:rPr>
        <w:t xml:space="preserve"> (Sprycel®, Bristol-Myers Squibb): Dasatinib er registrert på indikasjonen KML i alle faser Dasatinib er ca 300 ganger mer potent enn imatinib og er effektivt in vitro ved langt de fleste mutasjoner assosiert med imatinibresistens unntatt T315I, F317L og V299L. Dasatinib hemmer i tillegg til abl også flere kinaser i src-familien, samt TEC-kinaser, c-kit og PDGFR. Dasatinib doseres i kronisk fase 100 mg x</w:t>
      </w:r>
      <w:r w:rsidR="00E54182">
        <w:rPr>
          <w:rFonts w:ascii="Arial" w:eastAsia="Times New Roman" w:hAnsi="Arial" w:cs="Arial"/>
          <w:sz w:val="24"/>
          <w:szCs w:val="24"/>
        </w:rPr>
        <w:t xml:space="preserve"> </w:t>
      </w:r>
      <w:r w:rsidRPr="006F15EF">
        <w:rPr>
          <w:rFonts w:ascii="Arial" w:eastAsia="Times New Roman" w:hAnsi="Arial" w:cs="Arial"/>
          <w:sz w:val="24"/>
          <w:szCs w:val="24"/>
        </w:rPr>
        <w:t>1, i akselerert fase og blastfase 140 mg x</w:t>
      </w:r>
      <w:r w:rsidR="00E54182">
        <w:rPr>
          <w:rFonts w:ascii="Arial" w:eastAsia="Times New Roman" w:hAnsi="Arial" w:cs="Arial"/>
          <w:sz w:val="24"/>
          <w:szCs w:val="24"/>
        </w:rPr>
        <w:t xml:space="preserve"> </w:t>
      </w:r>
      <w:r w:rsidRPr="006F15EF">
        <w:rPr>
          <w:rFonts w:ascii="Arial" w:eastAsia="Times New Roman" w:hAnsi="Arial" w:cs="Arial"/>
          <w:sz w:val="24"/>
          <w:szCs w:val="24"/>
        </w:rPr>
        <w:t>1.</w:t>
      </w:r>
      <w:r>
        <w:rPr>
          <w:rFonts w:ascii="Arial" w:eastAsia="Times New Roman" w:hAnsi="Arial" w:cs="Arial"/>
          <w:sz w:val="24"/>
          <w:szCs w:val="24"/>
        </w:rPr>
        <w:t xml:space="preserve"> </w:t>
      </w:r>
      <w:r w:rsidRPr="006F15EF">
        <w:rPr>
          <w:rFonts w:ascii="Arial" w:eastAsia="Times New Roman" w:hAnsi="Arial" w:cs="Arial"/>
          <w:sz w:val="24"/>
          <w:szCs w:val="24"/>
        </w:rPr>
        <w:t>Erfaringsmessig finnes noen pasienter som har vanskelig for å tåle 100</w:t>
      </w:r>
      <w:r w:rsidR="00E54182">
        <w:rPr>
          <w:rFonts w:ascii="Arial" w:eastAsia="Times New Roman" w:hAnsi="Arial" w:cs="Arial"/>
          <w:sz w:val="24"/>
          <w:szCs w:val="24"/>
        </w:rPr>
        <w:t xml:space="preserve"> </w:t>
      </w:r>
      <w:r w:rsidRPr="006F15EF">
        <w:rPr>
          <w:rFonts w:ascii="Arial" w:eastAsia="Times New Roman" w:hAnsi="Arial" w:cs="Arial"/>
          <w:sz w:val="24"/>
          <w:szCs w:val="24"/>
        </w:rPr>
        <w:t xml:space="preserve">mg daglig over lang tid, men som kan ha </w:t>
      </w:r>
      <w:r w:rsidR="00293EAF">
        <w:rPr>
          <w:rFonts w:ascii="Arial" w:eastAsia="Times New Roman" w:hAnsi="Arial" w:cs="Arial"/>
          <w:sz w:val="24"/>
          <w:szCs w:val="24"/>
        </w:rPr>
        <w:t xml:space="preserve">meget </w:t>
      </w:r>
      <w:r w:rsidRPr="006F15EF">
        <w:rPr>
          <w:rFonts w:ascii="Arial" w:eastAsia="Times New Roman" w:hAnsi="Arial" w:cs="Arial"/>
          <w:sz w:val="24"/>
          <w:szCs w:val="24"/>
        </w:rPr>
        <w:t>god effekt av lavere dose, f.eks 50-70</w:t>
      </w:r>
      <w:r w:rsidR="00E54182">
        <w:rPr>
          <w:rFonts w:ascii="Arial" w:eastAsia="Times New Roman" w:hAnsi="Arial" w:cs="Arial"/>
          <w:sz w:val="24"/>
          <w:szCs w:val="24"/>
        </w:rPr>
        <w:t xml:space="preserve"> </w:t>
      </w:r>
      <w:r w:rsidRPr="006F15EF">
        <w:rPr>
          <w:rFonts w:ascii="Arial" w:eastAsia="Times New Roman" w:hAnsi="Arial" w:cs="Arial"/>
          <w:sz w:val="24"/>
          <w:szCs w:val="24"/>
        </w:rPr>
        <w:t xml:space="preserve">mg x1. </w:t>
      </w:r>
    </w:p>
    <w:p w14:paraId="352EFFC7" w14:textId="77777777" w:rsidR="00581003" w:rsidRDefault="00581003" w:rsidP="00443CCE">
      <w:pPr>
        <w:widowControl w:val="0"/>
        <w:spacing w:after="0" w:line="240" w:lineRule="auto"/>
        <w:ind w:left="567"/>
        <w:jc w:val="both"/>
        <w:rPr>
          <w:rFonts w:ascii="Arial" w:eastAsia="Times New Roman" w:hAnsi="Arial" w:cs="Arial"/>
          <w:sz w:val="24"/>
          <w:szCs w:val="24"/>
        </w:rPr>
      </w:pPr>
    </w:p>
    <w:p w14:paraId="7832CB61" w14:textId="0502E80B" w:rsidR="00581003" w:rsidRDefault="00581003" w:rsidP="00443CCE">
      <w:pPr>
        <w:widowControl w:val="0"/>
        <w:spacing w:after="0" w:line="240" w:lineRule="auto"/>
        <w:ind w:left="567"/>
        <w:jc w:val="both"/>
        <w:rPr>
          <w:rFonts w:ascii="Arial" w:eastAsia="Times New Roman" w:hAnsi="Arial" w:cs="Arial"/>
          <w:sz w:val="24"/>
          <w:szCs w:val="24"/>
        </w:rPr>
      </w:pPr>
      <w:r w:rsidRPr="00C01AF6">
        <w:rPr>
          <w:rFonts w:ascii="Arial" w:eastAsia="Times New Roman" w:hAnsi="Arial" w:cs="Arial"/>
          <w:b/>
          <w:sz w:val="24"/>
          <w:szCs w:val="24"/>
        </w:rPr>
        <w:t>Bosutinib.</w:t>
      </w:r>
      <w:r>
        <w:rPr>
          <w:rFonts w:ascii="Arial" w:eastAsia="Times New Roman" w:hAnsi="Arial" w:cs="Arial"/>
          <w:sz w:val="24"/>
          <w:szCs w:val="24"/>
        </w:rPr>
        <w:t xml:space="preserve"> (Bosulif, Pfizer): Godkjent i første linje</w:t>
      </w:r>
      <w:r w:rsidR="00E46F4A">
        <w:rPr>
          <w:rFonts w:ascii="Arial" w:eastAsia="Times New Roman" w:hAnsi="Arial" w:cs="Arial"/>
          <w:sz w:val="24"/>
          <w:szCs w:val="24"/>
        </w:rPr>
        <w:t xml:space="preserve"> av EMA</w:t>
      </w:r>
      <w:r>
        <w:rPr>
          <w:rFonts w:ascii="Arial" w:eastAsia="Times New Roman" w:hAnsi="Arial" w:cs="Arial"/>
          <w:sz w:val="24"/>
          <w:szCs w:val="24"/>
        </w:rPr>
        <w:t>. Litt raskere respons enn imatinib. Virksom ved mange imatinib-mutasjoner. Mindre tendens til pleuraeffusjon enn dasatinib til tross for at Bosutinib hemmer to av Src-kinasene. Doseres 400mg daglig i kronisk fase og 500 mgx1 i avansert fase. I likhet med dasatinib finnes mange pasienter med god effekt på lavere dosenivå</w:t>
      </w:r>
      <w:r w:rsidR="003B0698">
        <w:rPr>
          <w:rFonts w:ascii="Arial" w:eastAsia="Times New Roman" w:hAnsi="Arial" w:cs="Arial"/>
          <w:sz w:val="24"/>
          <w:szCs w:val="24"/>
        </w:rPr>
        <w:t xml:space="preserve">. </w:t>
      </w:r>
      <w:r w:rsidR="0031694C">
        <w:rPr>
          <w:rFonts w:ascii="Arial" w:eastAsia="Times New Roman" w:hAnsi="Arial" w:cs="Arial"/>
          <w:sz w:val="24"/>
          <w:szCs w:val="24"/>
        </w:rPr>
        <w:t>Høye transaminaser kan forekomme hos en betydelig andel av pasientene</w:t>
      </w:r>
    </w:p>
    <w:p w14:paraId="4841A830" w14:textId="77777777" w:rsidR="00443CCE" w:rsidRPr="006F15EF" w:rsidRDefault="00443CCE" w:rsidP="006F15EF">
      <w:pPr>
        <w:widowControl w:val="0"/>
        <w:spacing w:after="0" w:line="240" w:lineRule="auto"/>
        <w:ind w:left="567"/>
        <w:rPr>
          <w:rFonts w:ascii="Arial" w:eastAsia="Times New Roman" w:hAnsi="Arial" w:cs="Arial"/>
          <w:sz w:val="24"/>
          <w:szCs w:val="24"/>
        </w:rPr>
      </w:pPr>
    </w:p>
    <w:p w14:paraId="19DE0BC9" w14:textId="77777777" w:rsidR="006F15EF" w:rsidRPr="006F15EF" w:rsidRDefault="006F15EF" w:rsidP="006F15EF">
      <w:pPr>
        <w:keepNext/>
        <w:widowControl w:val="0"/>
        <w:numPr>
          <w:ilvl w:val="2"/>
          <w:numId w:val="1"/>
        </w:numPr>
        <w:tabs>
          <w:tab w:val="left" w:pos="1418"/>
        </w:tabs>
        <w:spacing w:before="200" w:after="200" w:line="240" w:lineRule="auto"/>
        <w:ind w:left="1080"/>
        <w:outlineLvl w:val="2"/>
        <w:rPr>
          <w:rFonts w:ascii="Arial" w:eastAsia="Times New Roman" w:hAnsi="Arial" w:cs="Arial"/>
          <w:b/>
          <w:bCs/>
          <w:i/>
          <w:iCs/>
          <w:sz w:val="24"/>
          <w:szCs w:val="24"/>
        </w:rPr>
      </w:pPr>
      <w:bookmarkStart w:id="27" w:name="_Toc365452289"/>
      <w:bookmarkStart w:id="28" w:name="_Toc438470532"/>
      <w:r w:rsidRPr="006F15EF">
        <w:rPr>
          <w:rFonts w:ascii="Arial" w:eastAsia="Times New Roman" w:hAnsi="Arial" w:cs="Arial"/>
          <w:b/>
          <w:bCs/>
          <w:i/>
          <w:iCs/>
          <w:sz w:val="24"/>
          <w:szCs w:val="24"/>
        </w:rPr>
        <w:t>Respons og monitorering</w:t>
      </w:r>
      <w:bookmarkEnd w:id="27"/>
      <w:bookmarkEnd w:id="28"/>
    </w:p>
    <w:p w14:paraId="7676E965" w14:textId="77777777" w:rsidR="00E03BBB" w:rsidRPr="00A1775A" w:rsidRDefault="006F15EF" w:rsidP="006F15EF">
      <w:pPr>
        <w:numPr>
          <w:ilvl w:val="0"/>
          <w:numId w:val="9"/>
        </w:numPr>
        <w:spacing w:after="0" w:line="240" w:lineRule="auto"/>
        <w:ind w:hanging="180"/>
        <w:rPr>
          <w:rFonts w:ascii="Arial" w:eastAsia="Times New Roman" w:hAnsi="Arial" w:cs="Arial"/>
          <w:bCs/>
          <w:sz w:val="24"/>
          <w:szCs w:val="24"/>
        </w:rPr>
      </w:pPr>
      <w:r w:rsidRPr="006F15EF">
        <w:rPr>
          <w:rFonts w:ascii="Arial" w:eastAsia="Times New Roman" w:hAnsi="Arial" w:cs="Arial"/>
          <w:b/>
          <w:bCs/>
          <w:sz w:val="24"/>
          <w:szCs w:val="24"/>
        </w:rPr>
        <w:t>Effekten av TKI ved gitte tidspunkter</w:t>
      </w:r>
      <w:r w:rsidR="00E03BBB">
        <w:rPr>
          <w:rFonts w:ascii="Arial" w:eastAsia="Times New Roman" w:hAnsi="Arial" w:cs="Arial"/>
          <w:b/>
          <w:bCs/>
          <w:sz w:val="24"/>
          <w:szCs w:val="24"/>
        </w:rPr>
        <w:t xml:space="preserve"> (milepæler)</w:t>
      </w:r>
      <w:r w:rsidRPr="006F15EF">
        <w:rPr>
          <w:rFonts w:ascii="Arial" w:eastAsia="Times New Roman" w:hAnsi="Arial" w:cs="Arial"/>
          <w:b/>
          <w:bCs/>
          <w:sz w:val="24"/>
          <w:szCs w:val="24"/>
        </w:rPr>
        <w:t xml:space="preserve"> er prognostisk viktig</w:t>
      </w:r>
      <w:r w:rsidR="00E03BBB">
        <w:rPr>
          <w:rFonts w:ascii="Arial" w:eastAsia="Times New Roman" w:hAnsi="Arial" w:cs="Arial"/>
          <w:b/>
          <w:bCs/>
          <w:sz w:val="24"/>
          <w:szCs w:val="24"/>
        </w:rPr>
        <w:t xml:space="preserve">. </w:t>
      </w:r>
    </w:p>
    <w:p w14:paraId="4448BFC9" w14:textId="71C5CDF4" w:rsidR="006F15EF" w:rsidRPr="006F15EF" w:rsidRDefault="00E03BBB" w:rsidP="006F15EF">
      <w:pPr>
        <w:spacing w:after="0" w:line="240" w:lineRule="auto"/>
        <w:ind w:left="540"/>
        <w:rPr>
          <w:rFonts w:ascii="Arial" w:eastAsia="Times New Roman" w:hAnsi="Arial" w:cs="Arial"/>
          <w:b/>
          <w:bCs/>
          <w:sz w:val="24"/>
          <w:szCs w:val="24"/>
        </w:rPr>
      </w:pPr>
      <w:r>
        <w:rPr>
          <w:rFonts w:ascii="Arial" w:eastAsia="Times New Roman" w:hAnsi="Arial" w:cs="Arial"/>
          <w:bCs/>
          <w:sz w:val="24"/>
          <w:szCs w:val="24"/>
        </w:rPr>
        <w:t>Følg</w:t>
      </w:r>
      <w:r w:rsidR="006F15EF" w:rsidRPr="00A1775A">
        <w:rPr>
          <w:rFonts w:ascii="Arial" w:eastAsia="Times New Roman" w:hAnsi="Arial" w:cs="Arial"/>
          <w:bCs/>
          <w:sz w:val="24"/>
          <w:szCs w:val="24"/>
        </w:rPr>
        <w:t xml:space="preserve"> hematologiske tellinger og biokjemi for overvåkning av organfunksjoner til stabil hematologisk respons. </w:t>
      </w:r>
      <w:r w:rsidR="006F15EF" w:rsidRPr="00E03BBB">
        <w:rPr>
          <w:rFonts w:ascii="Arial" w:eastAsia="Times New Roman" w:hAnsi="Arial" w:cs="Arial"/>
          <w:sz w:val="24"/>
          <w:szCs w:val="24"/>
        </w:rPr>
        <w:t>Erfaringsmessig er det vanligst med myelosuppresjon i 2. eller 3. behandlings</w:t>
      </w:r>
      <w:r w:rsidR="006F15EF" w:rsidRPr="006F15EF">
        <w:rPr>
          <w:rFonts w:ascii="Arial" w:eastAsia="Times New Roman" w:hAnsi="Arial" w:cs="Arial"/>
          <w:sz w:val="24"/>
          <w:szCs w:val="24"/>
        </w:rPr>
        <w:t xml:space="preserve"> måned. Støtte-behandling med G-CSF</w:t>
      </w:r>
      <w:r w:rsidR="007E4F8D">
        <w:rPr>
          <w:rFonts w:ascii="Arial" w:eastAsia="Times New Roman" w:hAnsi="Arial" w:cs="Arial"/>
          <w:sz w:val="24"/>
          <w:szCs w:val="24"/>
        </w:rPr>
        <w:t>, evt TPO</w:t>
      </w:r>
      <w:r w:rsidR="006F15EF" w:rsidRPr="006F15EF">
        <w:rPr>
          <w:rFonts w:ascii="Arial" w:eastAsia="Times New Roman" w:hAnsi="Arial" w:cs="Arial"/>
          <w:sz w:val="24"/>
          <w:szCs w:val="24"/>
        </w:rPr>
        <w:t xml:space="preserve"> og/eller transfusjoner bør foretrekkes fremfor dosereduksjon.</w:t>
      </w:r>
    </w:p>
    <w:p w14:paraId="2DB238FC" w14:textId="572F23DB" w:rsidR="006F15EF" w:rsidRPr="006F15EF" w:rsidRDefault="00E03BBB" w:rsidP="006F15EF">
      <w:pPr>
        <w:widowControl w:val="0"/>
        <w:numPr>
          <w:ilvl w:val="0"/>
          <w:numId w:val="9"/>
        </w:numPr>
        <w:spacing w:after="0" w:line="240" w:lineRule="auto"/>
        <w:ind w:hanging="180"/>
        <w:rPr>
          <w:rFonts w:ascii="Arial" w:eastAsia="Times New Roman" w:hAnsi="Arial" w:cs="Arial"/>
          <w:b/>
          <w:bCs/>
          <w:sz w:val="24"/>
          <w:szCs w:val="24"/>
        </w:rPr>
      </w:pPr>
      <w:r>
        <w:rPr>
          <w:rFonts w:ascii="Arial" w:eastAsia="Times New Roman" w:hAnsi="Arial" w:cs="Arial"/>
          <w:b/>
          <w:bCs/>
          <w:sz w:val="24"/>
          <w:szCs w:val="24"/>
        </w:rPr>
        <w:t>RT-qPCR</w:t>
      </w:r>
      <w:r w:rsidRPr="006F15EF">
        <w:rPr>
          <w:rFonts w:ascii="Arial" w:eastAsia="Times New Roman" w:hAnsi="Arial" w:cs="Arial"/>
          <w:b/>
          <w:bCs/>
          <w:sz w:val="24"/>
          <w:szCs w:val="24"/>
        </w:rPr>
        <w:t xml:space="preserve"> </w:t>
      </w:r>
      <w:r w:rsidR="006F15EF" w:rsidRPr="006F15EF">
        <w:rPr>
          <w:rFonts w:ascii="Arial" w:eastAsia="Times New Roman" w:hAnsi="Arial" w:cs="Arial"/>
          <w:b/>
          <w:bCs/>
          <w:sz w:val="24"/>
          <w:szCs w:val="24"/>
        </w:rPr>
        <w:t xml:space="preserve">måles i perifert blod hver 3. måned til bekreftet (stabil) MR3, deretter hver 6. måned. </w:t>
      </w:r>
      <w:r w:rsidR="0031694C">
        <w:rPr>
          <w:rFonts w:ascii="Arial" w:eastAsia="Times New Roman" w:hAnsi="Arial" w:cs="Arial"/>
          <w:b/>
          <w:bCs/>
          <w:sz w:val="24"/>
          <w:szCs w:val="24"/>
        </w:rPr>
        <w:t xml:space="preserve"> Dersom pasienten ikke har oppnådd 10% BCR-ABL </w:t>
      </w:r>
      <w:r w:rsidR="0031694C">
        <w:rPr>
          <w:rFonts w:ascii="Arial" w:eastAsia="Times New Roman" w:hAnsi="Arial" w:cs="Arial"/>
          <w:b/>
          <w:bCs/>
          <w:sz w:val="24"/>
          <w:szCs w:val="24"/>
        </w:rPr>
        <w:lastRenderedPageBreak/>
        <w:t>på 3 månedserskontrollen skal man gjenta prøven raskest mulig. Se tabell</w:t>
      </w:r>
      <w:r w:rsidR="007E4F8D">
        <w:rPr>
          <w:rFonts w:ascii="Arial" w:eastAsia="Times New Roman" w:hAnsi="Arial" w:cs="Arial"/>
          <w:b/>
          <w:bCs/>
          <w:sz w:val="24"/>
          <w:szCs w:val="24"/>
        </w:rPr>
        <w:t xml:space="preserve"> for skille på </w:t>
      </w:r>
      <w:r w:rsidR="007C504E">
        <w:rPr>
          <w:rFonts w:ascii="Arial" w:eastAsia="Times New Roman" w:hAnsi="Arial" w:cs="Arial"/>
          <w:b/>
          <w:bCs/>
          <w:sz w:val="24"/>
          <w:szCs w:val="24"/>
        </w:rPr>
        <w:t>«advarsel» eller «svikt»</w:t>
      </w:r>
    </w:p>
    <w:p w14:paraId="2940DAF0" w14:textId="64D01334" w:rsidR="006F15EF" w:rsidRDefault="006F15EF" w:rsidP="00E03BBB">
      <w:pPr>
        <w:widowControl w:val="0"/>
        <w:numPr>
          <w:ilvl w:val="0"/>
          <w:numId w:val="9"/>
        </w:numPr>
        <w:spacing w:after="0" w:line="240" w:lineRule="auto"/>
        <w:rPr>
          <w:rFonts w:ascii="Arial" w:eastAsia="Times New Roman" w:hAnsi="Arial" w:cs="Arial"/>
          <w:b/>
          <w:sz w:val="24"/>
          <w:szCs w:val="24"/>
        </w:rPr>
      </w:pPr>
      <w:r w:rsidRPr="00E03BBB">
        <w:rPr>
          <w:rFonts w:ascii="Arial" w:eastAsia="Times New Roman" w:hAnsi="Arial" w:cs="Arial"/>
          <w:b/>
          <w:bCs/>
          <w:sz w:val="24"/>
          <w:szCs w:val="24"/>
        </w:rPr>
        <w:t xml:space="preserve">Kinetikken i responsen etter 3, 6, 12 </w:t>
      </w:r>
      <w:r w:rsidR="00227485">
        <w:rPr>
          <w:rFonts w:ascii="Arial" w:eastAsia="Times New Roman" w:hAnsi="Arial" w:cs="Arial"/>
          <w:b/>
          <w:bCs/>
          <w:sz w:val="24"/>
          <w:szCs w:val="24"/>
        </w:rPr>
        <w:t xml:space="preserve">måneder </w:t>
      </w:r>
      <w:r w:rsidRPr="00E03BBB">
        <w:rPr>
          <w:rFonts w:ascii="Arial" w:eastAsia="Times New Roman" w:hAnsi="Arial" w:cs="Arial"/>
          <w:b/>
          <w:bCs/>
          <w:sz w:val="24"/>
          <w:szCs w:val="24"/>
        </w:rPr>
        <w:t xml:space="preserve">og </w:t>
      </w:r>
      <w:r w:rsidR="007C504E">
        <w:rPr>
          <w:rFonts w:ascii="Arial" w:eastAsia="Times New Roman" w:hAnsi="Arial" w:cs="Arial"/>
          <w:b/>
          <w:bCs/>
          <w:sz w:val="24"/>
          <w:szCs w:val="24"/>
        </w:rPr>
        <w:t>deretter</w:t>
      </w:r>
      <w:r w:rsidR="00227485">
        <w:rPr>
          <w:rFonts w:ascii="Arial" w:eastAsia="Times New Roman" w:hAnsi="Arial" w:cs="Arial"/>
          <w:b/>
          <w:bCs/>
          <w:sz w:val="24"/>
          <w:szCs w:val="24"/>
        </w:rPr>
        <w:t>,</w:t>
      </w:r>
      <w:r w:rsidRPr="00E03BBB">
        <w:rPr>
          <w:rFonts w:ascii="Arial" w:eastAsia="Times New Roman" w:hAnsi="Arial" w:cs="Arial"/>
          <w:b/>
          <w:bCs/>
          <w:sz w:val="24"/>
          <w:szCs w:val="24"/>
        </w:rPr>
        <w:t xml:space="preserve"> danner grunnlag for å kategorisere pasientens behandlingsrespons som ”optimal”, ”advarsel” eller ”svikt”. </w:t>
      </w:r>
      <w:r w:rsidRPr="00E03BBB">
        <w:rPr>
          <w:rFonts w:ascii="Arial" w:eastAsia="Times New Roman" w:hAnsi="Arial" w:cs="Arial"/>
          <w:b/>
          <w:sz w:val="24"/>
          <w:szCs w:val="24"/>
        </w:rPr>
        <w:t>Kravene til responskinetikken gjelder uavhengig av hvilken TKI som benyttes i første linje.</w:t>
      </w:r>
    </w:p>
    <w:p w14:paraId="3165F107" w14:textId="72CE0FF8" w:rsidR="007C504E" w:rsidRPr="00E03BBB" w:rsidRDefault="007C504E" w:rsidP="00E03BBB">
      <w:pPr>
        <w:widowControl w:val="0"/>
        <w:numPr>
          <w:ilvl w:val="0"/>
          <w:numId w:val="9"/>
        </w:numPr>
        <w:spacing w:after="0" w:line="240" w:lineRule="auto"/>
        <w:rPr>
          <w:rFonts w:ascii="Arial" w:eastAsia="Times New Roman" w:hAnsi="Arial" w:cs="Arial"/>
          <w:b/>
          <w:sz w:val="24"/>
          <w:szCs w:val="24"/>
        </w:rPr>
      </w:pPr>
      <w:r>
        <w:rPr>
          <w:rFonts w:ascii="Arial" w:eastAsia="Times New Roman" w:hAnsi="Arial" w:cs="Arial"/>
          <w:b/>
          <w:sz w:val="24"/>
          <w:szCs w:val="24"/>
        </w:rPr>
        <w:t>MR</w:t>
      </w:r>
      <w:r w:rsidR="00C01AF6">
        <w:rPr>
          <w:rFonts w:ascii="Arial" w:eastAsia="Times New Roman" w:hAnsi="Arial" w:cs="Arial"/>
          <w:b/>
          <w:sz w:val="24"/>
          <w:szCs w:val="24"/>
        </w:rPr>
        <w:t>2 (</w:t>
      </w:r>
      <w:r>
        <w:rPr>
          <w:rFonts w:ascii="Arial" w:eastAsia="Times New Roman" w:hAnsi="Arial" w:cs="Arial"/>
          <w:b/>
          <w:sz w:val="24"/>
          <w:szCs w:val="24"/>
        </w:rPr>
        <w:t>&lt;1%</w:t>
      </w:r>
      <w:r w:rsidR="00C01AF6">
        <w:rPr>
          <w:rFonts w:ascii="Arial" w:eastAsia="Times New Roman" w:hAnsi="Arial" w:cs="Arial"/>
          <w:b/>
          <w:sz w:val="24"/>
          <w:szCs w:val="24"/>
        </w:rPr>
        <w:t>)</w:t>
      </w:r>
      <w:r>
        <w:rPr>
          <w:rFonts w:ascii="Arial" w:eastAsia="Times New Roman" w:hAnsi="Arial" w:cs="Arial"/>
          <w:b/>
          <w:sz w:val="24"/>
          <w:szCs w:val="24"/>
        </w:rPr>
        <w:t xml:space="preserve"> oppfattes best korrelert til overlevelse, </w:t>
      </w:r>
      <w:r w:rsidR="00C01AF6">
        <w:rPr>
          <w:rFonts w:ascii="Arial" w:eastAsia="Times New Roman" w:hAnsi="Arial" w:cs="Arial"/>
          <w:b/>
          <w:sz w:val="24"/>
          <w:szCs w:val="24"/>
        </w:rPr>
        <w:t xml:space="preserve">og </w:t>
      </w:r>
      <w:r>
        <w:rPr>
          <w:rFonts w:ascii="Arial" w:eastAsia="Times New Roman" w:hAnsi="Arial" w:cs="Arial"/>
          <w:b/>
          <w:sz w:val="24"/>
          <w:szCs w:val="24"/>
        </w:rPr>
        <w:t>MR</w:t>
      </w:r>
      <w:r w:rsidR="00C01AF6">
        <w:rPr>
          <w:rFonts w:ascii="Arial" w:eastAsia="Times New Roman" w:hAnsi="Arial" w:cs="Arial"/>
          <w:b/>
          <w:sz w:val="24"/>
          <w:szCs w:val="24"/>
        </w:rPr>
        <w:t>3 (</w:t>
      </w:r>
      <w:r>
        <w:rPr>
          <w:rFonts w:ascii="Arial" w:eastAsia="Times New Roman" w:hAnsi="Arial" w:cs="Arial"/>
          <w:b/>
          <w:sz w:val="24"/>
          <w:szCs w:val="24"/>
        </w:rPr>
        <w:t>&lt;0,1%</w:t>
      </w:r>
      <w:r w:rsidR="00C01AF6">
        <w:rPr>
          <w:rFonts w:ascii="Arial" w:eastAsia="Times New Roman" w:hAnsi="Arial" w:cs="Arial"/>
          <w:b/>
          <w:sz w:val="24"/>
          <w:szCs w:val="24"/>
        </w:rPr>
        <w:t>)</w:t>
      </w:r>
      <w:r>
        <w:rPr>
          <w:rFonts w:ascii="Arial" w:eastAsia="Times New Roman" w:hAnsi="Arial" w:cs="Arial"/>
          <w:b/>
          <w:sz w:val="24"/>
          <w:szCs w:val="24"/>
        </w:rPr>
        <w:t xml:space="preserve"> oppfattes som trygg havn </w:t>
      </w:r>
      <w:r w:rsidR="00227485">
        <w:rPr>
          <w:rFonts w:ascii="Arial" w:eastAsia="Times New Roman" w:hAnsi="Arial" w:cs="Arial"/>
          <w:b/>
          <w:sz w:val="24"/>
          <w:szCs w:val="24"/>
        </w:rPr>
        <w:t xml:space="preserve">med leveutsikter som gjennomsnittsbefolkningen </w:t>
      </w:r>
      <w:r w:rsidR="00503048">
        <w:rPr>
          <w:rFonts w:ascii="Arial" w:eastAsia="Times New Roman" w:hAnsi="Arial" w:cs="Arial"/>
          <w:b/>
          <w:sz w:val="24"/>
          <w:szCs w:val="24"/>
        </w:rPr>
        <w:t>.</w:t>
      </w:r>
    </w:p>
    <w:p w14:paraId="381BF64A"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23C44B34" w14:textId="44544F93" w:rsidR="006F15EF" w:rsidRPr="006F15EF" w:rsidRDefault="006F15EF" w:rsidP="006F15EF">
      <w:pPr>
        <w:widowControl w:val="0"/>
        <w:spacing w:after="0" w:line="240" w:lineRule="auto"/>
        <w:ind w:left="567"/>
        <w:rPr>
          <w:rFonts w:ascii="Arial" w:eastAsia="Times New Roman" w:hAnsi="Arial" w:cs="Arial"/>
          <w:b/>
          <w:bCs/>
          <w:sz w:val="20"/>
          <w:szCs w:val="20"/>
          <w:lang w:eastAsia="nb-NO"/>
        </w:rPr>
      </w:pPr>
      <w:r w:rsidRPr="006F15EF">
        <w:rPr>
          <w:rFonts w:ascii="Arial" w:eastAsia="Times New Roman" w:hAnsi="Arial" w:cs="Arial"/>
          <w:b/>
          <w:bCs/>
          <w:sz w:val="24"/>
          <w:szCs w:val="24"/>
        </w:rPr>
        <w:t xml:space="preserve">Tabell 1. Monitorering av førstelinjebehandling. </w:t>
      </w:r>
      <w:r w:rsidRPr="006F15EF">
        <w:rPr>
          <w:rFonts w:ascii="Arial" w:eastAsia="Times New Roman" w:hAnsi="Arial" w:cs="Arial"/>
          <w:sz w:val="24"/>
          <w:szCs w:val="24"/>
        </w:rPr>
        <w:t>Adaptert fra ELNs retningslinjer 20</w:t>
      </w:r>
      <w:r w:rsidR="0031694C">
        <w:rPr>
          <w:rFonts w:ascii="Arial" w:eastAsia="Times New Roman" w:hAnsi="Arial" w:cs="Arial"/>
          <w:sz w:val="24"/>
          <w:szCs w:val="24"/>
        </w:rPr>
        <w:t xml:space="preserve">20. </w:t>
      </w:r>
      <w:r w:rsidRPr="006F15EF">
        <w:rPr>
          <w:rFonts w:ascii="Arial" w:eastAsia="Times New Roman" w:hAnsi="Arial" w:cs="Arial"/>
          <w:sz w:val="24"/>
          <w:szCs w:val="24"/>
        </w:rPr>
        <w:t>Tabellen gjelder første</w:t>
      </w:r>
      <w:r w:rsidR="00C01AF6">
        <w:rPr>
          <w:rFonts w:ascii="Arial" w:eastAsia="Times New Roman" w:hAnsi="Arial" w:cs="Arial"/>
          <w:sz w:val="24"/>
          <w:szCs w:val="24"/>
        </w:rPr>
        <w:t xml:space="preserve"> og andre linjes </w:t>
      </w:r>
      <w:r w:rsidRPr="006F15EF">
        <w:rPr>
          <w:rFonts w:ascii="Arial" w:eastAsia="Times New Roman" w:hAnsi="Arial" w:cs="Arial"/>
          <w:sz w:val="24"/>
          <w:szCs w:val="24"/>
        </w:rPr>
        <w:t xml:space="preserve">behandling i kronisk og akselerert fase med alle TKI godkjent for førstelinjebehandling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203"/>
        <w:gridCol w:w="3374"/>
        <w:gridCol w:w="3017"/>
      </w:tblGrid>
      <w:tr w:rsidR="00B31EEA" w:rsidRPr="006F15EF" w14:paraId="53E3498B" w14:textId="77777777" w:rsidTr="00CC4376">
        <w:trPr>
          <w:trHeight w:val="314"/>
        </w:trPr>
        <w:tc>
          <w:tcPr>
            <w:tcW w:w="1494" w:type="dxa"/>
          </w:tcPr>
          <w:p w14:paraId="3C85C6F5"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34"/>
              <w:jc w:val="center"/>
              <w:rPr>
                <w:rFonts w:ascii="Arial" w:eastAsia="Times New Roman" w:hAnsi="Arial" w:cs="Arial"/>
                <w:b/>
                <w:bCs/>
                <w:sz w:val="20"/>
                <w:szCs w:val="20"/>
                <w:lang w:eastAsia="nb-NO"/>
              </w:rPr>
            </w:pPr>
            <w:r w:rsidRPr="006F15EF">
              <w:rPr>
                <w:rFonts w:ascii="Arial" w:eastAsia="Times New Roman" w:hAnsi="Arial" w:cs="Arial"/>
                <w:b/>
                <w:bCs/>
                <w:sz w:val="20"/>
                <w:szCs w:val="20"/>
                <w:lang w:eastAsia="nb-NO"/>
              </w:rPr>
              <w:t>Tid</w:t>
            </w:r>
          </w:p>
        </w:tc>
        <w:tc>
          <w:tcPr>
            <w:tcW w:w="0" w:type="auto"/>
          </w:tcPr>
          <w:p w14:paraId="732E8044"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b/>
                <w:bCs/>
                <w:sz w:val="20"/>
                <w:szCs w:val="20"/>
                <w:lang w:eastAsia="nb-NO"/>
              </w:rPr>
            </w:pPr>
            <w:r w:rsidRPr="006F15EF">
              <w:rPr>
                <w:rFonts w:ascii="Arial" w:eastAsia="Times New Roman" w:hAnsi="Arial" w:cs="Arial"/>
                <w:b/>
                <w:bCs/>
                <w:sz w:val="20"/>
                <w:szCs w:val="20"/>
                <w:lang w:eastAsia="nb-NO"/>
              </w:rPr>
              <w:t>Optimal</w:t>
            </w:r>
          </w:p>
        </w:tc>
        <w:tc>
          <w:tcPr>
            <w:tcW w:w="0" w:type="auto"/>
          </w:tcPr>
          <w:p w14:paraId="59FB93AF"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b/>
                <w:bCs/>
                <w:sz w:val="20"/>
                <w:szCs w:val="20"/>
                <w:lang w:eastAsia="nb-NO"/>
              </w:rPr>
            </w:pPr>
            <w:r w:rsidRPr="006F15EF">
              <w:rPr>
                <w:rFonts w:ascii="Arial" w:eastAsia="Times New Roman" w:hAnsi="Arial" w:cs="Arial"/>
                <w:b/>
                <w:bCs/>
                <w:sz w:val="20"/>
                <w:szCs w:val="20"/>
                <w:lang w:eastAsia="nb-NO"/>
              </w:rPr>
              <w:t>Advarsel</w:t>
            </w:r>
          </w:p>
        </w:tc>
        <w:tc>
          <w:tcPr>
            <w:tcW w:w="0" w:type="auto"/>
          </w:tcPr>
          <w:p w14:paraId="235D7878"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b/>
                <w:bCs/>
                <w:sz w:val="20"/>
                <w:szCs w:val="20"/>
                <w:lang w:eastAsia="nb-NO"/>
              </w:rPr>
            </w:pPr>
            <w:r w:rsidRPr="006F15EF">
              <w:rPr>
                <w:rFonts w:ascii="Arial" w:eastAsia="Times New Roman" w:hAnsi="Arial" w:cs="Arial"/>
                <w:b/>
                <w:bCs/>
                <w:sz w:val="20"/>
                <w:szCs w:val="20"/>
                <w:lang w:eastAsia="nb-NO"/>
              </w:rPr>
              <w:t>Svikt</w:t>
            </w:r>
          </w:p>
        </w:tc>
      </w:tr>
      <w:tr w:rsidR="00B31EEA" w:rsidRPr="006F15EF" w14:paraId="7688DA58" w14:textId="77777777" w:rsidTr="00CC4376">
        <w:tc>
          <w:tcPr>
            <w:tcW w:w="1494" w:type="dxa"/>
          </w:tcPr>
          <w:p w14:paraId="51892AF1"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34"/>
              <w:jc w:val="center"/>
              <w:rPr>
                <w:rFonts w:ascii="Arial" w:eastAsia="Times New Roman" w:hAnsi="Arial" w:cs="Arial"/>
                <w:b/>
                <w:bCs/>
                <w:sz w:val="20"/>
                <w:szCs w:val="20"/>
                <w:lang w:eastAsia="nb-NO"/>
              </w:rPr>
            </w:pPr>
          </w:p>
          <w:p w14:paraId="16414A67"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34"/>
              <w:jc w:val="center"/>
              <w:rPr>
                <w:rFonts w:ascii="Arial" w:eastAsia="Times New Roman" w:hAnsi="Arial" w:cs="Arial"/>
                <w:b/>
                <w:bCs/>
                <w:sz w:val="20"/>
                <w:szCs w:val="20"/>
                <w:lang w:eastAsia="nb-NO"/>
              </w:rPr>
            </w:pPr>
            <w:r w:rsidRPr="006F15EF">
              <w:rPr>
                <w:rFonts w:ascii="Arial" w:eastAsia="Times New Roman" w:hAnsi="Arial" w:cs="Arial"/>
                <w:b/>
                <w:bCs/>
                <w:sz w:val="20"/>
                <w:szCs w:val="20"/>
                <w:lang w:eastAsia="nb-NO"/>
              </w:rPr>
              <w:t>Diagnose</w:t>
            </w:r>
          </w:p>
        </w:tc>
        <w:tc>
          <w:tcPr>
            <w:tcW w:w="0" w:type="auto"/>
          </w:tcPr>
          <w:p w14:paraId="61D005A4"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p>
        </w:tc>
        <w:tc>
          <w:tcPr>
            <w:tcW w:w="0" w:type="auto"/>
          </w:tcPr>
          <w:p w14:paraId="24609895" w14:textId="56846D43" w:rsidR="006F15EF" w:rsidRPr="006F15EF" w:rsidRDefault="00E1051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Pr>
                <w:rFonts w:ascii="Arial" w:eastAsia="Times New Roman" w:hAnsi="Arial" w:cs="Arial"/>
                <w:sz w:val="20"/>
                <w:szCs w:val="20"/>
                <w:lang w:eastAsia="nb-NO"/>
              </w:rPr>
              <w:t>Høyrisiko</w:t>
            </w:r>
            <w:r w:rsidRPr="006F15EF">
              <w:rPr>
                <w:rFonts w:ascii="Arial" w:eastAsia="Times New Roman" w:hAnsi="Arial" w:cs="Arial"/>
                <w:sz w:val="20"/>
                <w:szCs w:val="20"/>
                <w:lang w:eastAsia="nb-NO"/>
              </w:rPr>
              <w:t xml:space="preserve"> </w:t>
            </w:r>
            <w:r w:rsidR="006F15EF" w:rsidRPr="006F15EF">
              <w:rPr>
                <w:rFonts w:ascii="Arial" w:eastAsia="Times New Roman" w:hAnsi="Arial" w:cs="Arial"/>
                <w:sz w:val="20"/>
                <w:szCs w:val="20"/>
                <w:lang w:eastAsia="nb-NO"/>
              </w:rPr>
              <w:t>cytogenetiske tilleggsavvik</w:t>
            </w:r>
            <w:r w:rsidR="00B31EEA">
              <w:rPr>
                <w:rFonts w:ascii="Arial" w:eastAsia="Times New Roman" w:hAnsi="Arial" w:cs="Arial"/>
                <w:sz w:val="20"/>
                <w:szCs w:val="20"/>
                <w:lang w:eastAsia="nb-NO"/>
              </w:rPr>
              <w:t xml:space="preserve"> +</w:t>
            </w:r>
            <w:r>
              <w:rPr>
                <w:rFonts w:ascii="Arial" w:eastAsia="Times New Roman" w:hAnsi="Arial" w:cs="Arial"/>
                <w:sz w:val="20"/>
                <w:szCs w:val="20"/>
                <w:lang w:eastAsia="nb-NO"/>
              </w:rPr>
              <w:t xml:space="preserve"> ELT</w:t>
            </w:r>
            <w:r w:rsidRPr="006F15EF">
              <w:rPr>
                <w:rFonts w:ascii="Arial" w:eastAsia="Times New Roman" w:hAnsi="Arial" w:cs="Arial"/>
                <w:sz w:val="20"/>
                <w:szCs w:val="20"/>
                <w:lang w:eastAsia="nb-NO"/>
              </w:rPr>
              <w:t xml:space="preserve">S </w:t>
            </w:r>
            <w:r w:rsidR="006F15EF" w:rsidRPr="006F15EF">
              <w:rPr>
                <w:rFonts w:ascii="Arial" w:eastAsia="Times New Roman" w:hAnsi="Arial" w:cs="Arial"/>
                <w:sz w:val="20"/>
                <w:szCs w:val="20"/>
                <w:lang w:eastAsia="nb-NO"/>
              </w:rPr>
              <w:t>HR</w:t>
            </w:r>
          </w:p>
        </w:tc>
        <w:tc>
          <w:tcPr>
            <w:tcW w:w="0" w:type="auto"/>
          </w:tcPr>
          <w:p w14:paraId="28CA5E1A"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p>
        </w:tc>
      </w:tr>
      <w:tr w:rsidR="00B31EEA" w:rsidRPr="006F15EF" w14:paraId="70B6C410" w14:textId="77777777" w:rsidTr="00CC4376">
        <w:tc>
          <w:tcPr>
            <w:tcW w:w="1494" w:type="dxa"/>
          </w:tcPr>
          <w:p w14:paraId="7B2D4612"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34"/>
              <w:jc w:val="center"/>
              <w:rPr>
                <w:rFonts w:ascii="Arial" w:eastAsia="Times New Roman" w:hAnsi="Arial" w:cs="Arial"/>
                <w:b/>
                <w:bCs/>
                <w:sz w:val="20"/>
                <w:szCs w:val="20"/>
                <w:lang w:eastAsia="nb-NO"/>
              </w:rPr>
            </w:pPr>
            <w:r w:rsidRPr="006F15EF">
              <w:rPr>
                <w:rFonts w:ascii="Arial" w:eastAsia="Times New Roman" w:hAnsi="Arial" w:cs="Arial"/>
                <w:b/>
                <w:bCs/>
                <w:sz w:val="20"/>
                <w:szCs w:val="20"/>
                <w:lang w:eastAsia="nb-NO"/>
              </w:rPr>
              <w:t>3 mnd</w:t>
            </w:r>
          </w:p>
        </w:tc>
        <w:tc>
          <w:tcPr>
            <w:tcW w:w="0" w:type="auto"/>
          </w:tcPr>
          <w:p w14:paraId="583FEA4B" w14:textId="47774D40" w:rsidR="006F15EF" w:rsidRPr="006F15EF" w:rsidRDefault="00E1051F" w:rsidP="0031694C">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Pr>
                <w:rFonts w:ascii="Arial" w:eastAsia="Times New Roman" w:hAnsi="Arial" w:cs="Arial"/>
                <w:sz w:val="20"/>
                <w:szCs w:val="20"/>
                <w:lang w:eastAsia="nb-NO"/>
              </w:rPr>
              <w:t xml:space="preserve">MR </w:t>
            </w:r>
            <w:r w:rsidR="0031694C">
              <w:rPr>
                <w:rFonts w:ascii="Arial" w:eastAsia="Times New Roman" w:hAnsi="Arial" w:cs="Arial"/>
                <w:sz w:val="20"/>
                <w:szCs w:val="20"/>
                <w:lang w:eastAsia="nb-NO"/>
              </w:rPr>
              <w:t xml:space="preserve">≤10% </w:t>
            </w:r>
          </w:p>
        </w:tc>
        <w:tc>
          <w:tcPr>
            <w:tcW w:w="0" w:type="auto"/>
          </w:tcPr>
          <w:p w14:paraId="15E07608" w14:textId="0B3EC7FE" w:rsidR="006F15EF" w:rsidRPr="006F15EF" w:rsidRDefault="00E1051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Pr>
                <w:rFonts w:ascii="Arial" w:eastAsia="Times New Roman" w:hAnsi="Arial" w:cs="Arial"/>
                <w:sz w:val="20"/>
                <w:szCs w:val="20"/>
                <w:lang w:eastAsia="nb-NO"/>
              </w:rPr>
              <w:t>MR</w:t>
            </w:r>
            <w:r w:rsidR="006F15EF" w:rsidRPr="006F15EF">
              <w:rPr>
                <w:rFonts w:ascii="Arial" w:eastAsia="Times New Roman" w:hAnsi="Arial" w:cs="Arial"/>
                <w:sz w:val="20"/>
                <w:szCs w:val="20"/>
                <w:lang w:eastAsia="nb-NO"/>
              </w:rPr>
              <w:t>&gt;10%</w:t>
            </w:r>
            <w:r>
              <w:rPr>
                <w:rFonts w:ascii="Arial" w:eastAsia="Times New Roman" w:hAnsi="Arial" w:cs="Arial"/>
                <w:sz w:val="20"/>
                <w:szCs w:val="20"/>
                <w:lang w:eastAsia="nb-NO"/>
              </w:rPr>
              <w:t xml:space="preserve"> (gjenta</w:t>
            </w:r>
            <w:r w:rsidR="006A1F93">
              <w:rPr>
                <w:rFonts w:ascii="Arial" w:eastAsia="Times New Roman" w:hAnsi="Arial" w:cs="Arial"/>
                <w:sz w:val="20"/>
                <w:szCs w:val="20"/>
                <w:lang w:eastAsia="nb-NO"/>
              </w:rPr>
              <w:t>s</w:t>
            </w:r>
            <w:r>
              <w:rPr>
                <w:rFonts w:ascii="Arial" w:eastAsia="Times New Roman" w:hAnsi="Arial" w:cs="Arial"/>
                <w:sz w:val="20"/>
                <w:szCs w:val="20"/>
                <w:lang w:eastAsia="nb-NO"/>
              </w:rPr>
              <w:t xml:space="preserve"> raskt)</w:t>
            </w:r>
          </w:p>
        </w:tc>
        <w:tc>
          <w:tcPr>
            <w:tcW w:w="0" w:type="auto"/>
          </w:tcPr>
          <w:p w14:paraId="6C64C3C1" w14:textId="6CFA2993" w:rsidR="006F15EF" w:rsidRPr="006F15EF" w:rsidRDefault="00E1051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Pr>
                <w:rFonts w:ascii="Arial" w:eastAsia="Times New Roman" w:hAnsi="Arial" w:cs="Arial"/>
                <w:sz w:val="20"/>
                <w:szCs w:val="20"/>
                <w:lang w:eastAsia="nb-NO"/>
              </w:rPr>
              <w:t>MR&gt;10% (bekreftet)</w:t>
            </w:r>
          </w:p>
        </w:tc>
      </w:tr>
      <w:tr w:rsidR="00B31EEA" w:rsidRPr="006F15EF" w14:paraId="3651768B" w14:textId="77777777" w:rsidTr="00CC4376">
        <w:tc>
          <w:tcPr>
            <w:tcW w:w="1494" w:type="dxa"/>
          </w:tcPr>
          <w:p w14:paraId="2E8C8AE1"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34"/>
              <w:jc w:val="center"/>
              <w:rPr>
                <w:rFonts w:ascii="Arial" w:eastAsia="Times New Roman" w:hAnsi="Arial" w:cs="Arial"/>
                <w:b/>
                <w:bCs/>
                <w:sz w:val="20"/>
                <w:szCs w:val="20"/>
                <w:lang w:eastAsia="nb-NO"/>
              </w:rPr>
            </w:pPr>
            <w:r w:rsidRPr="006F15EF">
              <w:rPr>
                <w:rFonts w:ascii="Arial" w:eastAsia="Times New Roman" w:hAnsi="Arial" w:cs="Arial"/>
                <w:b/>
                <w:bCs/>
                <w:sz w:val="20"/>
                <w:szCs w:val="20"/>
                <w:lang w:eastAsia="nb-NO"/>
              </w:rPr>
              <w:t>6 mnd</w:t>
            </w:r>
          </w:p>
        </w:tc>
        <w:tc>
          <w:tcPr>
            <w:tcW w:w="0" w:type="auto"/>
          </w:tcPr>
          <w:p w14:paraId="295DBFF9" w14:textId="312FF99B" w:rsidR="006F15EF" w:rsidRPr="006F15EF" w:rsidRDefault="00E1051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Pr>
                <w:rFonts w:ascii="Arial" w:eastAsia="Times New Roman" w:hAnsi="Arial" w:cs="Arial"/>
                <w:sz w:val="20"/>
                <w:szCs w:val="20"/>
                <w:lang w:eastAsia="nb-NO"/>
              </w:rPr>
              <w:t xml:space="preserve">MR: ≤1% </w:t>
            </w:r>
          </w:p>
        </w:tc>
        <w:tc>
          <w:tcPr>
            <w:tcW w:w="0" w:type="auto"/>
          </w:tcPr>
          <w:p w14:paraId="4F4986FA" w14:textId="197442A7" w:rsidR="006F15EF" w:rsidRPr="006F15EF" w:rsidRDefault="00E1051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Pr>
                <w:rFonts w:ascii="Arial" w:eastAsia="Times New Roman" w:hAnsi="Arial" w:cs="Arial"/>
                <w:sz w:val="20"/>
                <w:szCs w:val="20"/>
                <w:lang w:eastAsia="nb-NO"/>
              </w:rPr>
              <w:t>MR: &gt;</w:t>
            </w:r>
            <w:r w:rsidR="006F15EF" w:rsidRPr="006F15EF">
              <w:rPr>
                <w:rFonts w:ascii="Arial" w:eastAsia="Times New Roman" w:hAnsi="Arial" w:cs="Arial"/>
                <w:sz w:val="20"/>
                <w:szCs w:val="20"/>
                <w:lang w:eastAsia="nb-NO"/>
              </w:rPr>
              <w:t>1-10%</w:t>
            </w:r>
          </w:p>
        </w:tc>
        <w:tc>
          <w:tcPr>
            <w:tcW w:w="0" w:type="auto"/>
          </w:tcPr>
          <w:p w14:paraId="6F915AB3" w14:textId="5F020028" w:rsidR="006F15EF" w:rsidRPr="006F15EF" w:rsidRDefault="00B31EEA"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Pr>
                <w:rFonts w:ascii="Arial" w:eastAsia="Times New Roman" w:hAnsi="Arial" w:cs="Arial"/>
                <w:sz w:val="20"/>
                <w:szCs w:val="20"/>
                <w:lang w:eastAsia="nb-NO"/>
              </w:rPr>
              <w:t>M</w:t>
            </w:r>
            <w:r w:rsidR="00E1051F">
              <w:rPr>
                <w:rFonts w:ascii="Arial" w:eastAsia="Times New Roman" w:hAnsi="Arial" w:cs="Arial"/>
                <w:sz w:val="20"/>
                <w:szCs w:val="20"/>
                <w:lang w:eastAsia="nb-NO"/>
              </w:rPr>
              <w:t xml:space="preserve">R </w:t>
            </w:r>
            <w:r w:rsidR="006F15EF" w:rsidRPr="006F15EF">
              <w:rPr>
                <w:rFonts w:ascii="Arial" w:eastAsia="Times New Roman" w:hAnsi="Arial" w:cs="Arial"/>
                <w:sz w:val="20"/>
                <w:szCs w:val="20"/>
                <w:lang w:eastAsia="nb-NO"/>
              </w:rPr>
              <w:t>&gt;10%</w:t>
            </w:r>
          </w:p>
        </w:tc>
      </w:tr>
      <w:tr w:rsidR="00B31EEA" w:rsidRPr="006F15EF" w14:paraId="04CBC00D" w14:textId="77777777" w:rsidTr="00CC4376">
        <w:tc>
          <w:tcPr>
            <w:tcW w:w="1494" w:type="dxa"/>
          </w:tcPr>
          <w:p w14:paraId="6E3D9387"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34"/>
              <w:jc w:val="center"/>
              <w:rPr>
                <w:rFonts w:ascii="Arial" w:eastAsia="Times New Roman" w:hAnsi="Arial" w:cs="Arial"/>
                <w:b/>
                <w:bCs/>
                <w:sz w:val="20"/>
                <w:szCs w:val="20"/>
                <w:lang w:eastAsia="nb-NO"/>
              </w:rPr>
            </w:pPr>
            <w:r w:rsidRPr="006F15EF">
              <w:rPr>
                <w:rFonts w:ascii="Arial" w:eastAsia="Times New Roman" w:hAnsi="Arial" w:cs="Arial"/>
                <w:b/>
                <w:bCs/>
                <w:sz w:val="20"/>
                <w:szCs w:val="20"/>
                <w:lang w:eastAsia="nb-NO"/>
              </w:rPr>
              <w:t>12 mnd</w:t>
            </w:r>
          </w:p>
        </w:tc>
        <w:tc>
          <w:tcPr>
            <w:tcW w:w="0" w:type="auto"/>
          </w:tcPr>
          <w:p w14:paraId="4B518480"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sidRPr="006F15EF">
              <w:rPr>
                <w:rFonts w:ascii="Arial" w:eastAsia="Times New Roman" w:hAnsi="Arial" w:cs="Arial"/>
                <w:sz w:val="20"/>
                <w:szCs w:val="20"/>
                <w:lang w:eastAsia="nb-NO"/>
              </w:rPr>
              <w:t>MR&lt;0.1%</w:t>
            </w:r>
          </w:p>
          <w:p w14:paraId="1154F00E"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p>
        </w:tc>
        <w:tc>
          <w:tcPr>
            <w:tcW w:w="0" w:type="auto"/>
          </w:tcPr>
          <w:p w14:paraId="0289FC7E" w14:textId="245B85C4"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sidRPr="006F15EF">
              <w:rPr>
                <w:rFonts w:ascii="Arial" w:eastAsia="Times New Roman" w:hAnsi="Arial" w:cs="Arial"/>
                <w:sz w:val="20"/>
                <w:szCs w:val="20"/>
                <w:lang w:eastAsia="nb-NO"/>
              </w:rPr>
              <w:t>MR</w:t>
            </w:r>
            <w:r w:rsidR="00B31EEA">
              <w:rPr>
                <w:rFonts w:ascii="Arial" w:eastAsia="Times New Roman" w:hAnsi="Arial" w:cs="Arial"/>
                <w:sz w:val="20"/>
                <w:szCs w:val="20"/>
                <w:lang w:eastAsia="nb-NO"/>
              </w:rPr>
              <w:t>&gt;</w:t>
            </w:r>
            <w:r w:rsidRPr="006F15EF">
              <w:rPr>
                <w:rFonts w:ascii="Arial" w:eastAsia="Times New Roman" w:hAnsi="Arial" w:cs="Arial"/>
                <w:sz w:val="20"/>
                <w:szCs w:val="20"/>
                <w:lang w:eastAsia="nb-NO"/>
              </w:rPr>
              <w:t>0.1-1%</w:t>
            </w:r>
          </w:p>
        </w:tc>
        <w:tc>
          <w:tcPr>
            <w:tcW w:w="0" w:type="auto"/>
          </w:tcPr>
          <w:p w14:paraId="02A8121E" w14:textId="662770DD"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sidRPr="006F15EF">
              <w:rPr>
                <w:rFonts w:ascii="Arial" w:eastAsia="Times New Roman" w:hAnsi="Arial" w:cs="Arial"/>
                <w:sz w:val="20"/>
                <w:szCs w:val="20"/>
                <w:lang w:eastAsia="nb-NO"/>
              </w:rPr>
              <w:t>MR &gt;1%</w:t>
            </w:r>
          </w:p>
        </w:tc>
      </w:tr>
      <w:tr w:rsidR="00B31EEA" w:rsidRPr="006F15EF" w14:paraId="7D9009B4" w14:textId="77777777" w:rsidTr="00CC4376">
        <w:tc>
          <w:tcPr>
            <w:tcW w:w="1494" w:type="dxa"/>
          </w:tcPr>
          <w:p w14:paraId="17937136" w14:textId="77777777"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34"/>
              <w:jc w:val="center"/>
              <w:rPr>
                <w:rFonts w:ascii="Arial" w:eastAsia="Times New Roman" w:hAnsi="Arial" w:cs="Arial"/>
                <w:b/>
                <w:bCs/>
                <w:sz w:val="20"/>
                <w:szCs w:val="20"/>
                <w:lang w:eastAsia="nb-NO"/>
              </w:rPr>
            </w:pPr>
            <w:r w:rsidRPr="006F15EF">
              <w:rPr>
                <w:rFonts w:ascii="Arial" w:eastAsia="Times New Roman" w:hAnsi="Arial" w:cs="Arial"/>
                <w:b/>
                <w:bCs/>
                <w:sz w:val="20"/>
                <w:szCs w:val="20"/>
                <w:lang w:eastAsia="nb-NO"/>
              </w:rPr>
              <w:t>Ved alle senere tidspunkter</w:t>
            </w:r>
          </w:p>
        </w:tc>
        <w:tc>
          <w:tcPr>
            <w:tcW w:w="0" w:type="auto"/>
          </w:tcPr>
          <w:p w14:paraId="0E6AE333" w14:textId="16BAD5DD" w:rsidR="006F15EF" w:rsidRP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sidRPr="006F15EF">
              <w:rPr>
                <w:rFonts w:ascii="Arial" w:eastAsia="Times New Roman" w:hAnsi="Arial" w:cs="Arial"/>
                <w:sz w:val="20"/>
                <w:szCs w:val="20"/>
                <w:lang w:eastAsia="nb-NO"/>
              </w:rPr>
              <w:t>MR&lt;0.1%</w:t>
            </w:r>
            <w:r w:rsidR="00243973">
              <w:rPr>
                <w:rFonts w:ascii="Arial" w:eastAsia="Times New Roman" w:hAnsi="Arial" w:cs="Arial"/>
                <w:sz w:val="20"/>
                <w:szCs w:val="20"/>
                <w:lang w:eastAsia="nb-NO"/>
              </w:rPr>
              <w:t>*</w:t>
            </w:r>
          </w:p>
        </w:tc>
        <w:tc>
          <w:tcPr>
            <w:tcW w:w="0" w:type="auto"/>
          </w:tcPr>
          <w:p w14:paraId="359AD93B" w14:textId="316099CD" w:rsidR="006F15EF" w:rsidRPr="006F15EF" w:rsidRDefault="00B31EEA"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Pr>
                <w:rFonts w:ascii="Arial" w:eastAsia="Times New Roman" w:hAnsi="Arial" w:cs="Arial"/>
                <w:sz w:val="20"/>
                <w:szCs w:val="20"/>
                <w:lang w:eastAsia="nb-NO"/>
              </w:rPr>
              <w:t>Tap av respons dvs MR &gt;0,1%</w:t>
            </w:r>
          </w:p>
        </w:tc>
        <w:tc>
          <w:tcPr>
            <w:tcW w:w="0" w:type="auto"/>
          </w:tcPr>
          <w:p w14:paraId="7FF1423B" w14:textId="119904A1" w:rsidR="006F15EF" w:rsidRPr="006F15EF" w:rsidRDefault="00B31EEA"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Pr>
                <w:rFonts w:ascii="Arial" w:eastAsia="Times New Roman" w:hAnsi="Arial" w:cs="Arial"/>
                <w:sz w:val="20"/>
                <w:szCs w:val="20"/>
                <w:lang w:eastAsia="nb-NO"/>
              </w:rPr>
              <w:t>MR &gt;1%</w:t>
            </w:r>
            <w:r w:rsidR="006F15EF" w:rsidRPr="006F15EF">
              <w:rPr>
                <w:rFonts w:ascii="Arial" w:eastAsia="Times New Roman" w:hAnsi="Arial" w:cs="Arial"/>
                <w:sz w:val="20"/>
                <w:szCs w:val="20"/>
                <w:lang w:eastAsia="nb-NO"/>
              </w:rPr>
              <w:t>,</w:t>
            </w:r>
          </w:p>
          <w:p w14:paraId="58950A63" w14:textId="77777777" w:rsidR="006F15EF" w:rsidRDefault="006F15EF"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sidRPr="006F15EF">
              <w:rPr>
                <w:rFonts w:ascii="Arial" w:eastAsia="Times New Roman" w:hAnsi="Arial" w:cs="Arial"/>
                <w:sz w:val="20"/>
                <w:szCs w:val="20"/>
                <w:lang w:eastAsia="nb-NO"/>
              </w:rPr>
              <w:t>Cytogenetiske tilleggsavvik i Ph+ klon</w:t>
            </w:r>
          </w:p>
          <w:p w14:paraId="6586C067" w14:textId="16D27EEA" w:rsidR="00B31EEA" w:rsidRPr="006F15EF" w:rsidRDefault="00B31EEA" w:rsidP="006F15EF">
            <w:pPr>
              <w:widowControl w:val="0"/>
              <w:tabs>
                <w:tab w:val="left" w:pos="-1094"/>
                <w:tab w:val="left" w:pos="-720"/>
                <w:tab w:val="left" w:pos="0"/>
                <w:tab w:val="left" w:pos="940"/>
                <w:tab w:val="left" w:pos="1440"/>
                <w:tab w:val="left" w:pos="2160"/>
                <w:tab w:val="left" w:pos="2584"/>
              </w:tabs>
              <w:spacing w:after="0" w:line="240" w:lineRule="auto"/>
              <w:ind w:left="25"/>
              <w:jc w:val="center"/>
              <w:rPr>
                <w:rFonts w:ascii="Arial" w:eastAsia="Times New Roman" w:hAnsi="Arial" w:cs="Arial"/>
                <w:sz w:val="20"/>
                <w:szCs w:val="20"/>
                <w:lang w:eastAsia="nb-NO"/>
              </w:rPr>
            </w:pPr>
            <w:r>
              <w:rPr>
                <w:rFonts w:ascii="Arial" w:eastAsia="Times New Roman" w:hAnsi="Arial" w:cs="Arial"/>
                <w:sz w:val="20"/>
                <w:szCs w:val="20"/>
                <w:lang w:eastAsia="nb-NO"/>
              </w:rPr>
              <w:t>Resistensmutasjoner</w:t>
            </w:r>
          </w:p>
        </w:tc>
      </w:tr>
    </w:tbl>
    <w:p w14:paraId="0AA6070B" w14:textId="77777777" w:rsidR="006F15EF" w:rsidRPr="006F15EF" w:rsidRDefault="006F15EF" w:rsidP="006F15EF">
      <w:pPr>
        <w:widowControl w:val="0"/>
        <w:numPr>
          <w:ilvl w:val="0"/>
          <w:numId w:val="10"/>
        </w:numPr>
        <w:spacing w:after="0" w:line="240" w:lineRule="auto"/>
        <w:ind w:left="851"/>
        <w:rPr>
          <w:rFonts w:ascii="Arial" w:eastAsia="Times New Roman" w:hAnsi="Arial" w:cs="Arial"/>
          <w:sz w:val="24"/>
          <w:szCs w:val="24"/>
        </w:rPr>
      </w:pPr>
      <w:r w:rsidRPr="006F15EF">
        <w:rPr>
          <w:rFonts w:ascii="Arial" w:eastAsia="Times New Roman" w:hAnsi="Arial" w:cs="Arial"/>
          <w:sz w:val="24"/>
          <w:szCs w:val="24"/>
        </w:rPr>
        <w:t>MR= molekylær respons målt med RT-qPCR</w:t>
      </w:r>
    </w:p>
    <w:p w14:paraId="37AA77CC" w14:textId="5DDE0FCF" w:rsidR="006F15EF" w:rsidRPr="00B31EEA" w:rsidRDefault="00B31EEA" w:rsidP="00B31EEA">
      <w:pPr>
        <w:widowControl w:val="0"/>
        <w:numPr>
          <w:ilvl w:val="0"/>
          <w:numId w:val="10"/>
        </w:numPr>
        <w:spacing w:after="0" w:line="240" w:lineRule="auto"/>
        <w:ind w:left="851"/>
        <w:rPr>
          <w:rFonts w:ascii="Arial" w:eastAsia="Times New Roman" w:hAnsi="Arial" w:cs="Arial"/>
          <w:sz w:val="24"/>
          <w:szCs w:val="24"/>
        </w:rPr>
      </w:pPr>
      <w:r w:rsidRPr="00B31EEA">
        <w:rPr>
          <w:rFonts w:ascii="Arial" w:eastAsia="Times New Roman" w:hAnsi="Arial" w:cs="Times New Roman"/>
          <w:sz w:val="24"/>
          <w:szCs w:val="24"/>
        </w:rPr>
        <w:t>Høyrisiko</w:t>
      </w:r>
      <w:r w:rsidR="006F15EF" w:rsidRPr="00B31EEA">
        <w:rPr>
          <w:rFonts w:ascii="Arial" w:eastAsia="Times New Roman" w:hAnsi="Arial" w:cs="Times New Roman"/>
          <w:sz w:val="24"/>
          <w:szCs w:val="24"/>
        </w:rPr>
        <w:t xml:space="preserve"> kromosomavvik: Trisomi 8; isokromosom 17 dvs. i(17)(q10); trisomi 19; og ulike varianter av øket antall BCR-ABL-kopier som: Ph duplikasjon, +der(22)t(9;22)(q34;q11) og ider(22)(q10)t(9;22)(q34;q11) Se ref </w:t>
      </w:r>
      <w:r w:rsidR="006F15EF" w:rsidRPr="00B31EEA">
        <w:rPr>
          <w:rFonts w:ascii="Arial" w:eastAsia="Times New Roman" w:hAnsi="Arial" w:cs="Times New Roman"/>
          <w:noProof/>
          <w:sz w:val="24"/>
          <w:szCs w:val="24"/>
        </w:rPr>
        <w:t>(7)</w:t>
      </w:r>
      <w:r w:rsidR="006F15EF" w:rsidRPr="00B31EEA">
        <w:rPr>
          <w:rFonts w:ascii="Arial" w:eastAsia="Times New Roman" w:hAnsi="Arial" w:cs="Arial"/>
          <w:sz w:val="24"/>
          <w:szCs w:val="24"/>
        </w:rPr>
        <w:t>Translokasjoner som involverer tre kromosomer og gir opphav til BCR-ABL eller tap av et Y-kromosom har ikke prognostisk betydning ved TKI behandling.</w:t>
      </w:r>
    </w:p>
    <w:p w14:paraId="51D49437" w14:textId="03F7242C" w:rsidR="006A1F93" w:rsidRDefault="006F15EF" w:rsidP="006F15EF">
      <w:pPr>
        <w:widowControl w:val="0"/>
        <w:numPr>
          <w:ilvl w:val="0"/>
          <w:numId w:val="10"/>
        </w:numPr>
        <w:spacing w:after="0" w:line="240" w:lineRule="auto"/>
        <w:ind w:left="851"/>
        <w:rPr>
          <w:rFonts w:ascii="Arial" w:eastAsia="Times New Roman" w:hAnsi="Arial" w:cs="Arial"/>
          <w:sz w:val="24"/>
          <w:szCs w:val="24"/>
        </w:rPr>
      </w:pPr>
      <w:r w:rsidRPr="006F15EF">
        <w:rPr>
          <w:rFonts w:ascii="Arial" w:eastAsia="Times New Roman" w:hAnsi="Arial" w:cs="Arial"/>
          <w:sz w:val="24"/>
          <w:szCs w:val="24"/>
        </w:rPr>
        <w:t xml:space="preserve">Ethvert tap av tidligere respons er et varsel om resistens som må overvåkes nøye </w:t>
      </w:r>
      <w:r w:rsidR="00B31EEA">
        <w:rPr>
          <w:rFonts w:ascii="Arial" w:eastAsia="Times New Roman" w:hAnsi="Arial" w:cs="Arial"/>
          <w:sz w:val="24"/>
          <w:szCs w:val="24"/>
        </w:rPr>
        <w:t>inkl</w:t>
      </w:r>
      <w:r w:rsidR="006A1F93">
        <w:rPr>
          <w:rFonts w:ascii="Arial" w:eastAsia="Times New Roman" w:hAnsi="Arial" w:cs="Arial"/>
          <w:sz w:val="24"/>
          <w:szCs w:val="24"/>
        </w:rPr>
        <w:t>udert</w:t>
      </w:r>
      <w:r w:rsidR="00B31EEA">
        <w:rPr>
          <w:rFonts w:ascii="Arial" w:eastAsia="Times New Roman" w:hAnsi="Arial" w:cs="Arial"/>
          <w:sz w:val="24"/>
          <w:szCs w:val="24"/>
        </w:rPr>
        <w:t xml:space="preserve"> vurdering a mutasjonsa</w:t>
      </w:r>
      <w:r w:rsidR="00243973">
        <w:rPr>
          <w:rFonts w:ascii="Arial" w:eastAsia="Times New Roman" w:hAnsi="Arial" w:cs="Arial"/>
          <w:sz w:val="24"/>
          <w:szCs w:val="24"/>
        </w:rPr>
        <w:t>n</w:t>
      </w:r>
      <w:r w:rsidR="00B31EEA">
        <w:rPr>
          <w:rFonts w:ascii="Arial" w:eastAsia="Times New Roman" w:hAnsi="Arial" w:cs="Arial"/>
          <w:sz w:val="24"/>
          <w:szCs w:val="24"/>
        </w:rPr>
        <w:t>alyse</w:t>
      </w:r>
      <w:r w:rsidR="006A1F93">
        <w:rPr>
          <w:rFonts w:ascii="Arial" w:eastAsia="Times New Roman" w:hAnsi="Arial" w:cs="Arial"/>
          <w:sz w:val="24"/>
          <w:szCs w:val="24"/>
        </w:rPr>
        <w:t xml:space="preserve"> </w:t>
      </w:r>
      <w:r w:rsidRPr="006F15EF">
        <w:rPr>
          <w:rFonts w:ascii="Arial" w:eastAsia="Times New Roman" w:hAnsi="Arial" w:cs="Arial"/>
          <w:sz w:val="24"/>
          <w:szCs w:val="24"/>
        </w:rPr>
        <w:t>(se under). Som regel bør responskategorien baseres på mere enn ett analyseresultat før det gjøres endringer i behandlingen</w:t>
      </w:r>
      <w:r w:rsidR="006A1F93">
        <w:rPr>
          <w:rFonts w:ascii="Arial" w:eastAsia="Times New Roman" w:hAnsi="Arial" w:cs="Arial"/>
          <w:sz w:val="24"/>
          <w:szCs w:val="24"/>
        </w:rPr>
        <w:t xml:space="preserve">. </w:t>
      </w:r>
    </w:p>
    <w:p w14:paraId="21C2908C" w14:textId="67906C80" w:rsidR="006F15EF" w:rsidRDefault="006A1F93" w:rsidP="006F15EF">
      <w:pPr>
        <w:widowControl w:val="0"/>
        <w:numPr>
          <w:ilvl w:val="0"/>
          <w:numId w:val="10"/>
        </w:numPr>
        <w:spacing w:after="0" w:line="240" w:lineRule="auto"/>
        <w:ind w:left="851"/>
        <w:rPr>
          <w:rFonts w:ascii="Arial" w:eastAsia="Times New Roman" w:hAnsi="Arial" w:cs="Arial"/>
          <w:sz w:val="24"/>
          <w:szCs w:val="24"/>
        </w:rPr>
      </w:pPr>
      <w:r>
        <w:rPr>
          <w:rFonts w:ascii="Arial" w:eastAsia="Times New Roman" w:hAnsi="Arial" w:cs="Arial"/>
          <w:sz w:val="24"/>
          <w:szCs w:val="24"/>
        </w:rPr>
        <w:t>Som erstatning for karyotypering som responsevaluering (se forrige handlingsprogram) innføres repetert måling av RT-qPCR  så snart som mulig dersom man på måned 3 ikke har 10% eller bedre. Er det &gt;10% på repetert måling byttes til annen TKI (definert svikt) Karyotypering kan i denne situasjonen gi tilleggsinformasjon med tilleggsavvik av prognostisk betydning  selv om slikt forekommer ganske sjeldent.</w:t>
      </w:r>
    </w:p>
    <w:p w14:paraId="510A9A6F" w14:textId="700C34E3" w:rsidR="00243973" w:rsidRPr="006F15EF" w:rsidRDefault="00243973" w:rsidP="006F15EF">
      <w:pPr>
        <w:widowControl w:val="0"/>
        <w:numPr>
          <w:ilvl w:val="0"/>
          <w:numId w:val="10"/>
        </w:numPr>
        <w:spacing w:after="0" w:line="240" w:lineRule="auto"/>
        <w:ind w:left="851"/>
        <w:rPr>
          <w:rFonts w:ascii="Arial" w:eastAsia="Times New Roman" w:hAnsi="Arial" w:cs="Arial"/>
          <w:sz w:val="24"/>
          <w:szCs w:val="24"/>
        </w:rPr>
      </w:pPr>
      <w:r>
        <w:rPr>
          <w:rFonts w:ascii="Arial" w:eastAsia="Times New Roman" w:hAnsi="Arial" w:cs="Arial"/>
          <w:sz w:val="24"/>
          <w:szCs w:val="24"/>
        </w:rPr>
        <w:t>*</w:t>
      </w:r>
      <w:r w:rsidRPr="00243973">
        <w:rPr>
          <w:rFonts w:ascii="Arial" w:eastAsia="Times New Roman" w:hAnsi="Arial" w:cs="Arial"/>
          <w:sz w:val="24"/>
          <w:szCs w:val="24"/>
        </w:rPr>
        <w:t xml:space="preserve"> </w:t>
      </w:r>
      <w:r>
        <w:rPr>
          <w:rFonts w:ascii="Arial" w:eastAsia="Times New Roman" w:hAnsi="Arial" w:cs="Arial"/>
          <w:sz w:val="24"/>
          <w:szCs w:val="24"/>
        </w:rPr>
        <w:t xml:space="preserve">Optimal respons for pasienter som vil oppnå TFR er alltid MR4 eller bedre </w:t>
      </w:r>
    </w:p>
    <w:p w14:paraId="4030109E" w14:textId="77777777" w:rsidR="006F15EF" w:rsidRPr="006F15EF" w:rsidRDefault="006F15EF" w:rsidP="006F15EF">
      <w:pPr>
        <w:spacing w:after="0" w:line="240" w:lineRule="auto"/>
        <w:ind w:left="567"/>
        <w:rPr>
          <w:rFonts w:ascii="Arial" w:eastAsia="Times New Roman" w:hAnsi="Arial" w:cs="Arial"/>
          <w:b/>
          <w:bCs/>
          <w:sz w:val="24"/>
          <w:szCs w:val="24"/>
        </w:rPr>
      </w:pPr>
    </w:p>
    <w:p w14:paraId="0EFA5B5D" w14:textId="0DB888C0" w:rsidR="006F15EF" w:rsidRPr="006F15EF" w:rsidRDefault="006F15EF" w:rsidP="006F15EF">
      <w:pPr>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“Svikt”</w:t>
      </w:r>
      <w:r w:rsidRPr="006F15EF">
        <w:rPr>
          <w:rFonts w:ascii="Arial" w:eastAsia="Times New Roman" w:hAnsi="Arial" w:cs="Arial"/>
          <w:sz w:val="24"/>
          <w:szCs w:val="24"/>
        </w:rPr>
        <w:t xml:space="preserve"> betyr at valgt TKI bør byttes til </w:t>
      </w:r>
      <w:r w:rsidR="00520FFD">
        <w:rPr>
          <w:rFonts w:ascii="Arial" w:eastAsia="Times New Roman" w:hAnsi="Arial" w:cs="Arial"/>
          <w:sz w:val="24"/>
          <w:szCs w:val="24"/>
        </w:rPr>
        <w:t xml:space="preserve">annen </w:t>
      </w:r>
      <w:r w:rsidRPr="006F15EF">
        <w:rPr>
          <w:rFonts w:ascii="Arial" w:eastAsia="Times New Roman" w:hAnsi="Arial" w:cs="Arial"/>
          <w:sz w:val="24"/>
          <w:szCs w:val="24"/>
        </w:rPr>
        <w:t>TKI samtidig som</w:t>
      </w:r>
      <w:r w:rsidR="00520FFD">
        <w:rPr>
          <w:rFonts w:ascii="Arial" w:eastAsia="Times New Roman" w:hAnsi="Arial" w:cs="Arial"/>
          <w:sz w:val="24"/>
          <w:szCs w:val="24"/>
        </w:rPr>
        <w:t xml:space="preserve"> man gjør mutasjonsanalyse</w:t>
      </w:r>
      <w:r w:rsidR="00227485">
        <w:rPr>
          <w:rFonts w:ascii="Arial" w:eastAsia="Times New Roman" w:hAnsi="Arial" w:cs="Arial"/>
          <w:sz w:val="24"/>
          <w:szCs w:val="24"/>
        </w:rPr>
        <w:t>, karyotypering</w:t>
      </w:r>
      <w:r w:rsidR="00520FFD">
        <w:rPr>
          <w:rFonts w:ascii="Arial" w:eastAsia="Times New Roman" w:hAnsi="Arial" w:cs="Arial"/>
          <w:sz w:val="24"/>
          <w:szCs w:val="24"/>
        </w:rPr>
        <w:t xml:space="preserve"> og overveier</w:t>
      </w:r>
      <w:r w:rsidRPr="006F15EF">
        <w:rPr>
          <w:rFonts w:ascii="Arial" w:eastAsia="Times New Roman" w:hAnsi="Arial" w:cs="Arial"/>
          <w:sz w:val="24"/>
          <w:szCs w:val="24"/>
        </w:rPr>
        <w:t xml:space="preserve"> mulighet for allo-SCT med vevstyping</w:t>
      </w:r>
      <w:r w:rsidR="00227485">
        <w:rPr>
          <w:rFonts w:ascii="Arial" w:eastAsia="Times New Roman" w:hAnsi="Arial" w:cs="Arial"/>
          <w:sz w:val="24"/>
          <w:szCs w:val="24"/>
        </w:rPr>
        <w:t xml:space="preserve"> av potensielle donores ev søknad til den nasjonale transplantasjonsgruppen</w:t>
      </w:r>
      <w:r w:rsidR="00B31EEA">
        <w:rPr>
          <w:rFonts w:ascii="Arial" w:eastAsia="Times New Roman" w:hAnsi="Arial" w:cs="Arial"/>
          <w:sz w:val="24"/>
          <w:szCs w:val="24"/>
        </w:rPr>
        <w:t>.</w:t>
      </w:r>
    </w:p>
    <w:p w14:paraId="358FA9B8" w14:textId="77777777" w:rsidR="006F15EF" w:rsidRPr="006F15EF" w:rsidRDefault="006F15EF" w:rsidP="006F15EF">
      <w:pPr>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"Advarsel"</w:t>
      </w:r>
      <w:r w:rsidRPr="006F15EF">
        <w:rPr>
          <w:rFonts w:ascii="Arial" w:eastAsia="Times New Roman" w:hAnsi="Arial" w:cs="Arial"/>
          <w:sz w:val="24"/>
          <w:szCs w:val="24"/>
        </w:rPr>
        <w:t xml:space="preserve"> betyr at pasienten sannsynligvis har nytte av å bruke den valgte TKI, men kan ha dårligere prognose enn en pasient med ”optimal respons”. Følges </w:t>
      </w:r>
      <w:r w:rsidRPr="006F15EF">
        <w:rPr>
          <w:rFonts w:ascii="Arial" w:eastAsia="Times New Roman" w:hAnsi="Arial" w:cs="Arial"/>
          <w:sz w:val="24"/>
          <w:szCs w:val="24"/>
        </w:rPr>
        <w:lastRenderedPageBreak/>
        <w:t>nøye med tanke på tegn til ”svikt” og responstap. Oppfølgingen bør skje med kortere intervaller</w:t>
      </w:r>
    </w:p>
    <w:p w14:paraId="636ED4C1" w14:textId="77777777" w:rsidR="006F15EF" w:rsidRPr="006F15EF" w:rsidRDefault="006F15EF" w:rsidP="006F15EF">
      <w:pPr>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 xml:space="preserve">”Optimal» </w:t>
      </w:r>
      <w:r w:rsidRPr="006F15EF">
        <w:rPr>
          <w:rFonts w:ascii="Arial" w:eastAsia="Times New Roman" w:hAnsi="Arial" w:cs="Arial"/>
          <w:sz w:val="24"/>
          <w:szCs w:val="24"/>
        </w:rPr>
        <w:t>betyr at det ikke er fordeler med endring av behandlingen</w:t>
      </w:r>
    </w:p>
    <w:p w14:paraId="2DE4D2F2" w14:textId="77777777" w:rsidR="006F15EF" w:rsidRPr="006F15EF" w:rsidRDefault="006F15EF" w:rsidP="006F15EF">
      <w:pPr>
        <w:widowControl w:val="0"/>
        <w:spacing w:after="0" w:line="240" w:lineRule="auto"/>
        <w:ind w:left="567"/>
        <w:rPr>
          <w:rFonts w:ascii="Arial" w:eastAsia="Times New Roman" w:hAnsi="Arial" w:cs="Arial"/>
          <w:b/>
          <w:bCs/>
          <w:sz w:val="24"/>
          <w:szCs w:val="24"/>
        </w:rPr>
      </w:pPr>
    </w:p>
    <w:p w14:paraId="3E7D57CB" w14:textId="7AC83C2B"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Compliance:</w:t>
      </w:r>
      <w:r w:rsidRPr="006F15EF">
        <w:rPr>
          <w:rFonts w:ascii="Arial" w:eastAsia="Times New Roman" w:hAnsi="Arial" w:cs="Arial"/>
          <w:sz w:val="24"/>
          <w:szCs w:val="24"/>
        </w:rPr>
        <w:t xml:space="preserve"> Det er nå godt dokumentert at heller ikke KML pasienter alltid tar foreskrevet medisindose. Redusert compliance </w:t>
      </w:r>
      <w:r w:rsidR="00153DDF">
        <w:rPr>
          <w:rFonts w:ascii="Arial" w:eastAsia="Times New Roman" w:hAnsi="Arial" w:cs="Arial"/>
          <w:sz w:val="24"/>
          <w:szCs w:val="24"/>
        </w:rPr>
        <w:t>angis som</w:t>
      </w:r>
      <w:r w:rsidR="00153DDF" w:rsidRPr="006F15EF">
        <w:rPr>
          <w:rFonts w:ascii="Arial" w:eastAsia="Times New Roman" w:hAnsi="Arial" w:cs="Arial"/>
          <w:sz w:val="24"/>
          <w:szCs w:val="24"/>
        </w:rPr>
        <w:t xml:space="preserve"> </w:t>
      </w:r>
      <w:r w:rsidRPr="006F15EF">
        <w:rPr>
          <w:rFonts w:ascii="Arial" w:eastAsia="Times New Roman" w:hAnsi="Arial" w:cs="Arial"/>
          <w:sz w:val="24"/>
          <w:szCs w:val="24"/>
        </w:rPr>
        <w:t xml:space="preserve">en av de hyppigste årsakene til at responsene på imatinibbehandling ikke er optimal </w:t>
      </w:r>
      <w:r w:rsidRPr="006F15EF">
        <w:rPr>
          <w:rFonts w:ascii="Arial" w:eastAsia="Times New Roman" w:hAnsi="Arial" w:cs="Arial"/>
          <w:noProof/>
          <w:sz w:val="24"/>
          <w:szCs w:val="24"/>
        </w:rPr>
        <w:t>(12)</w:t>
      </w:r>
      <w:r w:rsidRPr="006F15EF">
        <w:rPr>
          <w:rFonts w:ascii="Arial" w:eastAsia="Times New Roman" w:hAnsi="Arial" w:cs="Arial"/>
          <w:sz w:val="24"/>
          <w:szCs w:val="24"/>
        </w:rPr>
        <w:t>. Ofte er det lavgradige bivirkninger som gjør at pasienter tar behandlingspauser. Overvei skifte av TKI for å bedre compliance</w:t>
      </w:r>
      <w:r w:rsidR="00520FFD">
        <w:rPr>
          <w:rFonts w:ascii="Arial" w:eastAsia="Times New Roman" w:hAnsi="Arial" w:cs="Arial"/>
          <w:sz w:val="24"/>
          <w:szCs w:val="24"/>
        </w:rPr>
        <w:t xml:space="preserve">. Nilotinib må tas på fastende mage, hvilket </w:t>
      </w:r>
      <w:r w:rsidR="00B31EEA">
        <w:rPr>
          <w:rFonts w:ascii="Arial" w:eastAsia="Times New Roman" w:hAnsi="Arial" w:cs="Arial"/>
          <w:sz w:val="24"/>
          <w:szCs w:val="24"/>
        </w:rPr>
        <w:t xml:space="preserve">kan </w:t>
      </w:r>
      <w:r w:rsidR="00520FFD">
        <w:rPr>
          <w:rFonts w:ascii="Arial" w:eastAsia="Times New Roman" w:hAnsi="Arial" w:cs="Arial"/>
          <w:sz w:val="24"/>
          <w:szCs w:val="24"/>
        </w:rPr>
        <w:t>oppleves som besværlig av enkelte pasienter</w:t>
      </w:r>
      <w:r w:rsidR="00B31EEA">
        <w:rPr>
          <w:rFonts w:ascii="Arial" w:eastAsia="Times New Roman" w:hAnsi="Arial" w:cs="Arial"/>
          <w:sz w:val="24"/>
          <w:szCs w:val="24"/>
        </w:rPr>
        <w:t>. Imatinib og Bosutinib tas med stort måltid.</w:t>
      </w:r>
    </w:p>
    <w:p w14:paraId="699DE454" w14:textId="77777777" w:rsidR="006F15EF" w:rsidRPr="006F15EF" w:rsidRDefault="006F15EF" w:rsidP="006F15EF">
      <w:pPr>
        <w:widowControl w:val="0"/>
        <w:spacing w:after="0" w:line="240" w:lineRule="auto"/>
        <w:ind w:left="567"/>
        <w:rPr>
          <w:rFonts w:ascii="Arial" w:eastAsia="Times New Roman" w:hAnsi="Arial" w:cs="Arial"/>
          <w:b/>
          <w:bCs/>
          <w:sz w:val="24"/>
          <w:szCs w:val="24"/>
        </w:rPr>
      </w:pPr>
    </w:p>
    <w:p w14:paraId="694D65B2" w14:textId="6BE6A936"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Resistens:</w:t>
      </w:r>
      <w:r w:rsidRPr="006F15EF">
        <w:rPr>
          <w:rFonts w:ascii="Arial" w:eastAsia="Times New Roman" w:hAnsi="Arial" w:cs="Arial"/>
          <w:sz w:val="24"/>
          <w:szCs w:val="24"/>
        </w:rPr>
        <w:t xml:space="preserve"> Manglende hematologisk eller </w:t>
      </w:r>
      <w:r w:rsidR="002F47C1">
        <w:rPr>
          <w:rFonts w:ascii="Arial" w:eastAsia="Times New Roman" w:hAnsi="Arial" w:cs="Arial"/>
          <w:sz w:val="24"/>
          <w:szCs w:val="24"/>
        </w:rPr>
        <w:t>molekylær</w:t>
      </w:r>
      <w:r w:rsidR="002F47C1" w:rsidRPr="006F15EF">
        <w:rPr>
          <w:rFonts w:ascii="Arial" w:eastAsia="Times New Roman" w:hAnsi="Arial" w:cs="Arial"/>
          <w:sz w:val="24"/>
          <w:szCs w:val="24"/>
        </w:rPr>
        <w:t xml:space="preserve"> </w:t>
      </w:r>
      <w:r w:rsidRPr="006F15EF">
        <w:rPr>
          <w:rFonts w:ascii="Arial" w:eastAsia="Times New Roman" w:hAnsi="Arial" w:cs="Arial"/>
          <w:sz w:val="24"/>
          <w:szCs w:val="24"/>
        </w:rPr>
        <w:t>respons etter oppstart av TKI er meget sjeldent, mens for treg cytogenetisk respons er mer vanlig. Vanligere opptrer resistens ved at tidligere ervervet respons (hematologisk, CgR eller MR) går tapt unntatt ved compliance-problemer.</w:t>
      </w:r>
    </w:p>
    <w:p w14:paraId="59434F2E" w14:textId="350DEA3D"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 xml:space="preserve">Årsakene til TKI-resistens er flere </w:t>
      </w:r>
      <w:r w:rsidRPr="006F15EF">
        <w:rPr>
          <w:rFonts w:ascii="Arial" w:eastAsia="Times New Roman" w:hAnsi="Arial" w:cs="Arial"/>
          <w:noProof/>
          <w:sz w:val="24"/>
          <w:szCs w:val="24"/>
        </w:rPr>
        <w:t>(13)</w:t>
      </w:r>
      <w:r w:rsidRPr="006F15EF">
        <w:rPr>
          <w:rFonts w:ascii="Arial" w:eastAsia="Times New Roman" w:hAnsi="Arial" w:cs="Arial"/>
          <w:sz w:val="24"/>
          <w:szCs w:val="24"/>
        </w:rPr>
        <w:t>. Punktmutasjoner i BCR-ABLs kinasedomene, amplifisering av BCR-ABL genet, økt transkripsjonsaktivitet, farmakokinetiske faktorer, redusert influx av imatinib (polymorfismer i organisk kation transporter (OCT-1), økt efflux gjennom multi drug resistenspumpen MDR1 / P-glycoprotein og klonal evolusjon i Ph+ klon er assosiert med resistens</w:t>
      </w:r>
      <w:r w:rsidR="00B31EEA">
        <w:rPr>
          <w:rFonts w:ascii="Arial" w:eastAsia="Times New Roman" w:hAnsi="Arial" w:cs="Arial"/>
          <w:sz w:val="24"/>
          <w:szCs w:val="24"/>
        </w:rPr>
        <w:t xml:space="preserve">. </w:t>
      </w:r>
      <w:r w:rsidR="00F02F9C">
        <w:rPr>
          <w:rFonts w:ascii="Arial" w:eastAsia="Times New Roman" w:hAnsi="Arial" w:cs="Arial"/>
          <w:sz w:val="24"/>
          <w:szCs w:val="24"/>
        </w:rPr>
        <w:t xml:space="preserve">De andre TKIene </w:t>
      </w:r>
      <w:r w:rsidRPr="006F15EF">
        <w:rPr>
          <w:rFonts w:ascii="Arial" w:eastAsia="Times New Roman" w:hAnsi="Arial" w:cs="Arial"/>
          <w:sz w:val="24"/>
          <w:szCs w:val="24"/>
        </w:rPr>
        <w:t>er mindre avhengige av membranpumper og færre ABL</w:t>
      </w:r>
      <w:r w:rsidR="00F02F9C">
        <w:rPr>
          <w:rFonts w:ascii="Arial" w:eastAsia="Times New Roman" w:hAnsi="Arial" w:cs="Arial"/>
          <w:sz w:val="24"/>
          <w:szCs w:val="24"/>
        </w:rPr>
        <w:t>-</w:t>
      </w:r>
      <w:r w:rsidRPr="006F15EF">
        <w:rPr>
          <w:rFonts w:ascii="Arial" w:eastAsia="Times New Roman" w:hAnsi="Arial" w:cs="Arial"/>
          <w:sz w:val="24"/>
          <w:szCs w:val="24"/>
        </w:rPr>
        <w:t>mutasjoner gir resistens. Andre resistensmekanismer enn punktmutasjoner er ikke godt kartlagt</w:t>
      </w:r>
      <w:r w:rsidR="00B31EEA">
        <w:rPr>
          <w:rFonts w:ascii="Arial" w:eastAsia="Times New Roman" w:hAnsi="Arial" w:cs="Arial"/>
          <w:sz w:val="24"/>
          <w:szCs w:val="24"/>
        </w:rPr>
        <w:t xml:space="preserve"> Punktmutasjoner utgjør den viktigste resistensmekanismen vi kan påvirke med behandling. </w:t>
      </w:r>
      <w:r w:rsidRPr="006F15EF">
        <w:rPr>
          <w:rFonts w:ascii="Arial" w:eastAsia="Times New Roman" w:hAnsi="Arial" w:cs="Arial"/>
          <w:sz w:val="24"/>
          <w:szCs w:val="24"/>
        </w:rPr>
        <w:t xml:space="preserve"> </w:t>
      </w:r>
    </w:p>
    <w:p w14:paraId="064178AC" w14:textId="2BD08B01" w:rsidR="006F15EF" w:rsidRPr="006F15EF" w:rsidRDefault="006F15EF" w:rsidP="006F15EF">
      <w:pPr>
        <w:keepNext/>
        <w:widowControl w:val="0"/>
        <w:numPr>
          <w:ilvl w:val="1"/>
          <w:numId w:val="1"/>
        </w:numPr>
        <w:tabs>
          <w:tab w:val="left" w:pos="1620"/>
        </w:tabs>
        <w:spacing w:before="220" w:after="200" w:line="240" w:lineRule="auto"/>
        <w:ind w:left="1080"/>
        <w:outlineLvl w:val="1"/>
        <w:rPr>
          <w:rFonts w:ascii="Arial" w:eastAsia="Times New Roman" w:hAnsi="Arial" w:cs="Arial"/>
          <w:b/>
          <w:bCs/>
          <w:color w:val="000000"/>
          <w:sz w:val="24"/>
          <w:szCs w:val="24"/>
        </w:rPr>
      </w:pPr>
      <w:bookmarkStart w:id="29" w:name="_Toc365452290"/>
      <w:bookmarkStart w:id="30" w:name="_Toc438470533"/>
      <w:r w:rsidRPr="006F15EF">
        <w:rPr>
          <w:rFonts w:ascii="Arial" w:eastAsia="Times New Roman" w:hAnsi="Arial" w:cs="Arial"/>
          <w:b/>
          <w:bCs/>
          <w:color w:val="000000"/>
          <w:sz w:val="24"/>
          <w:szCs w:val="24"/>
        </w:rPr>
        <w:t xml:space="preserve">Håndtering </w:t>
      </w:r>
      <w:r w:rsidR="007C504E">
        <w:rPr>
          <w:rFonts w:ascii="Arial" w:eastAsia="Times New Roman" w:hAnsi="Arial" w:cs="Arial"/>
          <w:b/>
          <w:bCs/>
          <w:color w:val="000000"/>
          <w:sz w:val="24"/>
          <w:szCs w:val="24"/>
        </w:rPr>
        <w:t xml:space="preserve">og vurdering </w:t>
      </w:r>
      <w:r w:rsidRPr="006F15EF">
        <w:rPr>
          <w:rFonts w:ascii="Arial" w:eastAsia="Times New Roman" w:hAnsi="Arial" w:cs="Arial"/>
          <w:b/>
          <w:bCs/>
          <w:color w:val="000000"/>
          <w:sz w:val="24"/>
          <w:szCs w:val="24"/>
        </w:rPr>
        <w:t xml:space="preserve">av </w:t>
      </w:r>
      <w:r w:rsidR="00F02F9C">
        <w:rPr>
          <w:rFonts w:ascii="Arial" w:eastAsia="Times New Roman" w:hAnsi="Arial" w:cs="Arial"/>
          <w:b/>
          <w:bCs/>
          <w:color w:val="000000"/>
          <w:sz w:val="24"/>
          <w:szCs w:val="24"/>
        </w:rPr>
        <w:t>kategoriene</w:t>
      </w:r>
      <w:r w:rsidR="00581003">
        <w:rPr>
          <w:rFonts w:ascii="Arial" w:eastAsia="Times New Roman" w:hAnsi="Arial" w:cs="Arial"/>
          <w:b/>
          <w:bCs/>
          <w:color w:val="000000"/>
          <w:sz w:val="24"/>
          <w:szCs w:val="24"/>
        </w:rPr>
        <w:t xml:space="preserve"> </w:t>
      </w:r>
      <w:r w:rsidRPr="006F15EF">
        <w:rPr>
          <w:rFonts w:ascii="Arial" w:eastAsia="Times New Roman" w:hAnsi="Arial" w:cs="Arial"/>
          <w:b/>
          <w:bCs/>
          <w:color w:val="000000"/>
          <w:sz w:val="24"/>
          <w:szCs w:val="24"/>
        </w:rPr>
        <w:t>»Svikt» og »</w:t>
      </w:r>
      <w:r w:rsidR="00F02F9C">
        <w:rPr>
          <w:rFonts w:ascii="Arial" w:eastAsia="Times New Roman" w:hAnsi="Arial" w:cs="Arial"/>
          <w:b/>
          <w:bCs/>
          <w:color w:val="000000"/>
          <w:sz w:val="24"/>
          <w:szCs w:val="24"/>
        </w:rPr>
        <w:t>A</w:t>
      </w:r>
      <w:r w:rsidRPr="006F15EF">
        <w:rPr>
          <w:rFonts w:ascii="Arial" w:eastAsia="Times New Roman" w:hAnsi="Arial" w:cs="Arial"/>
          <w:b/>
          <w:bCs/>
          <w:color w:val="000000"/>
          <w:sz w:val="24"/>
          <w:szCs w:val="24"/>
        </w:rPr>
        <w:t>dvarsel»</w:t>
      </w:r>
      <w:bookmarkEnd w:id="29"/>
      <w:bookmarkEnd w:id="30"/>
    </w:p>
    <w:p w14:paraId="3641A9F1" w14:textId="1FBEED95" w:rsidR="006F15EF" w:rsidRPr="006F15EF" w:rsidRDefault="006F15EF" w:rsidP="006F15EF">
      <w:pPr>
        <w:numPr>
          <w:ilvl w:val="0"/>
          <w:numId w:val="12"/>
        </w:numPr>
        <w:spacing w:after="0" w:line="240" w:lineRule="auto"/>
        <w:rPr>
          <w:rFonts w:ascii="Arial" w:eastAsia="Times New Roman" w:hAnsi="Arial" w:cs="Arial"/>
          <w:sz w:val="24"/>
          <w:szCs w:val="24"/>
        </w:rPr>
      </w:pPr>
      <w:r w:rsidRPr="006F15EF">
        <w:rPr>
          <w:rFonts w:ascii="Arial" w:eastAsia="Times New Roman" w:hAnsi="Arial" w:cs="Arial"/>
          <w:sz w:val="24"/>
          <w:szCs w:val="24"/>
        </w:rPr>
        <w:t>Compliance. Diskuter</w:t>
      </w:r>
      <w:r w:rsidR="0032430F">
        <w:rPr>
          <w:rFonts w:ascii="Arial" w:eastAsia="Times New Roman" w:hAnsi="Arial" w:cs="Arial"/>
          <w:sz w:val="24"/>
          <w:szCs w:val="24"/>
        </w:rPr>
        <w:t xml:space="preserve"> bivirkninger og </w:t>
      </w:r>
      <w:r w:rsidR="002F47C1">
        <w:rPr>
          <w:rFonts w:ascii="Arial" w:eastAsia="Times New Roman" w:hAnsi="Arial" w:cs="Arial"/>
          <w:sz w:val="24"/>
          <w:szCs w:val="24"/>
        </w:rPr>
        <w:t>medikament</w:t>
      </w:r>
      <w:r w:rsidR="0032430F">
        <w:rPr>
          <w:rFonts w:ascii="Arial" w:eastAsia="Times New Roman" w:hAnsi="Arial" w:cs="Arial"/>
          <w:sz w:val="24"/>
          <w:szCs w:val="24"/>
        </w:rPr>
        <w:t>rutiner</w:t>
      </w:r>
      <w:r w:rsidRPr="006F15EF">
        <w:rPr>
          <w:rFonts w:ascii="Arial" w:eastAsia="Times New Roman" w:hAnsi="Arial" w:cs="Arial"/>
          <w:sz w:val="24"/>
          <w:szCs w:val="24"/>
        </w:rPr>
        <w:t xml:space="preserve"> med pasienten.</w:t>
      </w:r>
    </w:p>
    <w:p w14:paraId="69B47E94" w14:textId="7B62E891" w:rsidR="006F15EF" w:rsidRDefault="006F15EF" w:rsidP="006F15EF">
      <w:pPr>
        <w:numPr>
          <w:ilvl w:val="0"/>
          <w:numId w:val="12"/>
        </w:numPr>
        <w:spacing w:after="0" w:line="240" w:lineRule="auto"/>
        <w:rPr>
          <w:rFonts w:ascii="Arial" w:eastAsia="Times New Roman" w:hAnsi="Arial" w:cs="Arial"/>
          <w:sz w:val="24"/>
          <w:szCs w:val="24"/>
        </w:rPr>
      </w:pPr>
      <w:r w:rsidRPr="006F15EF">
        <w:rPr>
          <w:rFonts w:ascii="Arial" w:eastAsia="Times New Roman" w:hAnsi="Arial" w:cs="Arial"/>
          <w:sz w:val="24"/>
          <w:szCs w:val="24"/>
        </w:rPr>
        <w:t>ABL-mutasjonsanalyse</w:t>
      </w:r>
      <w:r w:rsidR="00227485">
        <w:rPr>
          <w:rFonts w:ascii="Arial" w:eastAsia="Times New Roman" w:hAnsi="Arial" w:cs="Arial"/>
          <w:sz w:val="24"/>
          <w:szCs w:val="24"/>
        </w:rPr>
        <w:t xml:space="preserve"> / </w:t>
      </w:r>
      <w:r w:rsidR="00A621D1">
        <w:rPr>
          <w:rFonts w:ascii="Arial" w:eastAsia="Times New Roman" w:hAnsi="Arial" w:cs="Arial"/>
          <w:sz w:val="24"/>
          <w:szCs w:val="24"/>
        </w:rPr>
        <w:t>k</w:t>
      </w:r>
      <w:r w:rsidR="00227485">
        <w:rPr>
          <w:rFonts w:ascii="Arial" w:eastAsia="Times New Roman" w:hAnsi="Arial" w:cs="Arial"/>
          <w:sz w:val="24"/>
          <w:szCs w:val="24"/>
        </w:rPr>
        <w:t>aryotypering</w:t>
      </w:r>
      <w:r w:rsidRPr="006F15EF">
        <w:rPr>
          <w:rFonts w:ascii="Arial" w:eastAsia="Times New Roman" w:hAnsi="Arial" w:cs="Arial"/>
          <w:sz w:val="24"/>
          <w:szCs w:val="24"/>
        </w:rPr>
        <w:t>.</w:t>
      </w:r>
    </w:p>
    <w:p w14:paraId="7A059D0C" w14:textId="77777777" w:rsidR="007C504E" w:rsidRPr="006F15EF" w:rsidRDefault="007C504E" w:rsidP="007C504E">
      <w:pPr>
        <w:numPr>
          <w:ilvl w:val="0"/>
          <w:numId w:val="12"/>
        </w:numPr>
        <w:spacing w:after="0" w:line="240" w:lineRule="auto"/>
        <w:rPr>
          <w:rFonts w:ascii="Arial" w:eastAsia="Times New Roman" w:hAnsi="Arial" w:cs="Arial"/>
          <w:sz w:val="24"/>
          <w:szCs w:val="24"/>
        </w:rPr>
      </w:pPr>
      <w:r w:rsidRPr="006F15EF">
        <w:rPr>
          <w:rFonts w:ascii="Arial" w:eastAsia="Times New Roman" w:hAnsi="Arial" w:cs="Arial"/>
          <w:sz w:val="24"/>
          <w:szCs w:val="24"/>
        </w:rPr>
        <w:t>Farmakokinetiske faktorer / interaksjoner.</w:t>
      </w:r>
    </w:p>
    <w:p w14:paraId="4C68F52B" w14:textId="540422A9" w:rsidR="006F15EF" w:rsidRPr="006F15EF" w:rsidRDefault="006F15EF" w:rsidP="006F15EF">
      <w:pPr>
        <w:numPr>
          <w:ilvl w:val="0"/>
          <w:numId w:val="12"/>
        </w:numPr>
        <w:spacing w:after="0" w:line="240" w:lineRule="auto"/>
        <w:rPr>
          <w:rFonts w:ascii="Arial" w:eastAsia="Times New Roman" w:hAnsi="Arial" w:cs="Arial"/>
          <w:sz w:val="24"/>
          <w:szCs w:val="24"/>
        </w:rPr>
      </w:pPr>
      <w:r w:rsidRPr="006F15EF">
        <w:rPr>
          <w:rFonts w:ascii="Arial" w:eastAsia="Times New Roman" w:hAnsi="Arial" w:cs="Arial"/>
          <w:sz w:val="24"/>
          <w:szCs w:val="24"/>
        </w:rPr>
        <w:t xml:space="preserve">Tettere </w:t>
      </w:r>
      <w:r w:rsidR="002F47C1">
        <w:rPr>
          <w:rFonts w:ascii="Arial" w:eastAsia="Times New Roman" w:hAnsi="Arial" w:cs="Arial"/>
          <w:sz w:val="24"/>
          <w:szCs w:val="24"/>
        </w:rPr>
        <w:t>monitorering</w:t>
      </w:r>
      <w:r w:rsidRPr="006F15EF">
        <w:rPr>
          <w:rFonts w:ascii="Arial" w:eastAsia="Times New Roman" w:hAnsi="Arial" w:cs="Arial"/>
          <w:sz w:val="24"/>
          <w:szCs w:val="24"/>
        </w:rPr>
        <w:t xml:space="preserve">. </w:t>
      </w:r>
    </w:p>
    <w:p w14:paraId="719240B2" w14:textId="3DB29000" w:rsidR="006F15EF" w:rsidRDefault="006F15EF" w:rsidP="006F15EF">
      <w:pPr>
        <w:numPr>
          <w:ilvl w:val="0"/>
          <w:numId w:val="12"/>
        </w:numPr>
        <w:spacing w:after="0" w:line="240" w:lineRule="auto"/>
        <w:rPr>
          <w:rFonts w:ascii="Arial" w:eastAsia="Times New Roman" w:hAnsi="Arial" w:cs="Arial"/>
          <w:sz w:val="24"/>
          <w:szCs w:val="24"/>
        </w:rPr>
      </w:pPr>
      <w:r w:rsidRPr="006F15EF">
        <w:rPr>
          <w:rFonts w:ascii="Arial" w:eastAsia="Times New Roman" w:hAnsi="Arial" w:cs="Arial"/>
          <w:sz w:val="24"/>
          <w:szCs w:val="24"/>
        </w:rPr>
        <w:t xml:space="preserve">Skifte TKI (se avsnittet:”Valg av 2TKI”) </w:t>
      </w:r>
    </w:p>
    <w:p w14:paraId="6A7555BF" w14:textId="281E41F6" w:rsidR="007C504E" w:rsidRPr="006F15EF" w:rsidRDefault="007C504E" w:rsidP="006F15EF">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Evt doseøkning</w:t>
      </w:r>
    </w:p>
    <w:p w14:paraId="3D00C2C3" w14:textId="77777777" w:rsidR="006F15EF" w:rsidRPr="006F15EF" w:rsidRDefault="006F15EF" w:rsidP="006F15EF">
      <w:pPr>
        <w:widowControl w:val="0"/>
        <w:spacing w:after="0" w:line="240" w:lineRule="auto"/>
        <w:ind w:left="567"/>
        <w:rPr>
          <w:rFonts w:ascii="Arial" w:eastAsia="Times New Roman" w:hAnsi="Arial" w:cs="Arial"/>
          <w:sz w:val="24"/>
          <w:szCs w:val="24"/>
        </w:rPr>
      </w:pPr>
      <w:bookmarkStart w:id="31" w:name="_Hlk63195258"/>
    </w:p>
    <w:p w14:paraId="613C99F1" w14:textId="77777777" w:rsidR="006F15EF" w:rsidRPr="006F15EF" w:rsidRDefault="006F15EF" w:rsidP="006F15EF">
      <w:pPr>
        <w:widowControl w:val="0"/>
        <w:numPr>
          <w:ilvl w:val="0"/>
          <w:numId w:val="11"/>
        </w:numPr>
        <w:spacing w:after="0" w:line="240" w:lineRule="auto"/>
        <w:rPr>
          <w:rFonts w:ascii="Arial" w:eastAsia="Times New Roman" w:hAnsi="Arial" w:cs="Arial"/>
          <w:sz w:val="24"/>
          <w:szCs w:val="24"/>
        </w:rPr>
      </w:pPr>
      <w:r w:rsidRPr="006F15EF">
        <w:rPr>
          <w:rFonts w:ascii="Arial" w:eastAsia="Times New Roman" w:hAnsi="Arial" w:cs="Arial"/>
          <w:b/>
          <w:bCs/>
          <w:sz w:val="24"/>
          <w:szCs w:val="24"/>
        </w:rPr>
        <w:t>Primær- eller sekundær «svikt»: Indikasjon for å skifte behandling.</w:t>
      </w:r>
    </w:p>
    <w:p w14:paraId="6CEA89FD" w14:textId="4544E6E4"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ab/>
        <w:t>-Behandling skiftes til hvilken som helst 2TKI dersom første valg var imatinib eller en annen 2TKI dersom førstevalg var dasatinib eller nilotinib. (evidensgrad B). Ta hensyn til evt mutasjoner og evt komorbiditet</w:t>
      </w:r>
      <w:r w:rsidRPr="006F15EF">
        <w:rPr>
          <w:rFonts w:ascii="Arial" w:eastAsia="Times New Roman" w:hAnsi="Arial" w:cs="Arial"/>
          <w:noProof/>
          <w:sz w:val="24"/>
          <w:szCs w:val="24"/>
        </w:rPr>
        <w:t xml:space="preserve"> (14)</w:t>
      </w:r>
      <w:r w:rsidRPr="006F15EF">
        <w:rPr>
          <w:rFonts w:ascii="Arial" w:eastAsia="Times New Roman" w:hAnsi="Arial" w:cs="Arial"/>
          <w:sz w:val="24"/>
          <w:szCs w:val="24"/>
        </w:rPr>
        <w:t xml:space="preserve"> (Se avsnittet: «Valg av 2TKI»).</w:t>
      </w:r>
      <w:r w:rsidR="0032430F">
        <w:rPr>
          <w:rFonts w:ascii="Arial" w:eastAsia="Times New Roman" w:hAnsi="Arial" w:cs="Arial"/>
          <w:sz w:val="24"/>
          <w:szCs w:val="24"/>
        </w:rPr>
        <w:t xml:space="preserve"> </w:t>
      </w:r>
      <w:r w:rsidR="00FC79ED">
        <w:rPr>
          <w:rFonts w:ascii="Arial" w:eastAsia="Times New Roman" w:hAnsi="Arial" w:cs="Arial"/>
          <w:sz w:val="24"/>
          <w:szCs w:val="24"/>
        </w:rPr>
        <w:t>Når man har prøvd to 2TKIer er sjansene for meningsfull respons relativt små, kanskje 15-</w:t>
      </w:r>
      <w:commentRangeStart w:id="32"/>
      <w:r w:rsidR="00FC79ED">
        <w:rPr>
          <w:rFonts w:ascii="Arial" w:eastAsia="Times New Roman" w:hAnsi="Arial" w:cs="Arial"/>
          <w:sz w:val="24"/>
          <w:szCs w:val="24"/>
        </w:rPr>
        <w:t>20</w:t>
      </w:r>
      <w:commentRangeEnd w:id="32"/>
      <w:r w:rsidR="00FC79ED">
        <w:rPr>
          <w:rStyle w:val="CommentReference"/>
        </w:rPr>
        <w:commentReference w:id="32"/>
      </w:r>
      <w:r w:rsidR="00FC79ED">
        <w:rPr>
          <w:rFonts w:ascii="Arial" w:eastAsia="Times New Roman" w:hAnsi="Arial" w:cs="Arial"/>
          <w:sz w:val="24"/>
          <w:szCs w:val="24"/>
        </w:rPr>
        <w:t xml:space="preserve">%. Ponatinib gir </w:t>
      </w:r>
      <w:r w:rsidR="00405924">
        <w:rPr>
          <w:rFonts w:ascii="Arial" w:eastAsia="Times New Roman" w:hAnsi="Arial" w:cs="Arial"/>
          <w:sz w:val="24"/>
          <w:szCs w:val="24"/>
        </w:rPr>
        <w:t>noe</w:t>
      </w:r>
      <w:r w:rsidR="00FC79ED">
        <w:rPr>
          <w:rFonts w:ascii="Arial" w:eastAsia="Times New Roman" w:hAnsi="Arial" w:cs="Arial"/>
          <w:sz w:val="24"/>
          <w:szCs w:val="24"/>
        </w:rPr>
        <w:t xml:space="preserve"> høyere responser, men denne fordelen må veies mot risiko for atheroskleroseassosierte hendelser som potensielt kan gi permanent organskade. I kronisk sykdomsfase er det i retrospektive analyser bedre overlevelse med Ponatinib enn allo-SCT og individuelle avveiinger bør </w:t>
      </w:r>
      <w:r w:rsidR="00405924">
        <w:rPr>
          <w:rFonts w:ascii="Arial" w:eastAsia="Times New Roman" w:hAnsi="Arial" w:cs="Arial"/>
          <w:sz w:val="24"/>
          <w:szCs w:val="24"/>
        </w:rPr>
        <w:t>vurd</w:t>
      </w:r>
      <w:r w:rsidR="00FC79ED">
        <w:rPr>
          <w:rFonts w:ascii="Arial" w:eastAsia="Times New Roman" w:hAnsi="Arial" w:cs="Arial"/>
          <w:sz w:val="24"/>
          <w:szCs w:val="24"/>
        </w:rPr>
        <w:t xml:space="preserve">eres </w:t>
      </w:r>
      <w:r w:rsidR="00405924">
        <w:rPr>
          <w:rFonts w:ascii="Arial" w:eastAsia="Times New Roman" w:hAnsi="Arial" w:cs="Arial"/>
          <w:sz w:val="24"/>
          <w:szCs w:val="24"/>
        </w:rPr>
        <w:t xml:space="preserve">i samråd </w:t>
      </w:r>
      <w:r w:rsidR="00FC79ED">
        <w:rPr>
          <w:rFonts w:ascii="Arial" w:eastAsia="Times New Roman" w:hAnsi="Arial" w:cs="Arial"/>
          <w:sz w:val="24"/>
          <w:szCs w:val="24"/>
        </w:rPr>
        <w:t>med trans</w:t>
      </w:r>
      <w:r w:rsidR="00405924">
        <w:rPr>
          <w:rFonts w:ascii="Arial" w:eastAsia="Times New Roman" w:hAnsi="Arial" w:cs="Arial"/>
          <w:sz w:val="24"/>
          <w:szCs w:val="24"/>
        </w:rPr>
        <w:t>p</w:t>
      </w:r>
      <w:r w:rsidR="00FC79ED">
        <w:rPr>
          <w:rFonts w:ascii="Arial" w:eastAsia="Times New Roman" w:hAnsi="Arial" w:cs="Arial"/>
          <w:sz w:val="24"/>
          <w:szCs w:val="24"/>
        </w:rPr>
        <w:t>lantasjonseksperter.</w:t>
      </w:r>
      <w:r w:rsidR="00405924">
        <w:rPr>
          <w:rFonts w:ascii="Arial" w:eastAsia="Times New Roman" w:hAnsi="Arial" w:cs="Arial"/>
          <w:sz w:val="24"/>
          <w:szCs w:val="24"/>
        </w:rPr>
        <w:t xml:space="preserve"> Ved resistens i 3. til 4. behandlingslinje er BCR-ABL &lt;1% et akseptabelt responsnivå.</w:t>
      </w:r>
    </w:p>
    <w:p w14:paraId="7CBCAE23" w14:textId="51CDCD43"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ab/>
        <w:t>-Allo-SCT (evidensgrad B) er høyaktuelt dersom respons på 2. linjes behandling</w:t>
      </w:r>
      <w:r w:rsidR="00A621D1">
        <w:rPr>
          <w:rFonts w:ascii="Arial" w:eastAsia="Times New Roman" w:hAnsi="Arial" w:cs="Arial"/>
          <w:sz w:val="24"/>
          <w:szCs w:val="24"/>
        </w:rPr>
        <w:t xml:space="preserve"> </w:t>
      </w:r>
      <w:r w:rsidR="00A621D1">
        <w:rPr>
          <w:rFonts w:ascii="Arial" w:eastAsia="Times New Roman" w:hAnsi="Arial" w:cs="Arial"/>
          <w:sz w:val="24"/>
          <w:szCs w:val="24"/>
        </w:rPr>
        <w:lastRenderedPageBreak/>
        <w:t>eller ponatinib</w:t>
      </w:r>
      <w:r w:rsidRPr="006F15EF">
        <w:rPr>
          <w:rFonts w:ascii="Arial" w:eastAsia="Times New Roman" w:hAnsi="Arial" w:cs="Arial"/>
          <w:sz w:val="24"/>
          <w:szCs w:val="24"/>
        </w:rPr>
        <w:t xml:space="preserve"> er utilfredsstillende</w:t>
      </w:r>
    </w:p>
    <w:bookmarkEnd w:id="31"/>
    <w:p w14:paraId="6D715F09" w14:textId="77777777"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ab/>
        <w:t>-Utprøvende behandling i studie.</w:t>
      </w:r>
    </w:p>
    <w:p w14:paraId="3157D2E2" w14:textId="77777777"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ab/>
        <w:t>-Palliativ behandling</w:t>
      </w:r>
    </w:p>
    <w:p w14:paraId="1141F043" w14:textId="77777777" w:rsidR="006F15EF" w:rsidRPr="006F15EF" w:rsidRDefault="006F15EF" w:rsidP="006F15EF">
      <w:pPr>
        <w:keepNext/>
        <w:widowControl w:val="0"/>
        <w:numPr>
          <w:ilvl w:val="2"/>
          <w:numId w:val="1"/>
        </w:numPr>
        <w:tabs>
          <w:tab w:val="left" w:pos="1418"/>
        </w:tabs>
        <w:spacing w:before="200" w:after="200" w:line="240" w:lineRule="auto"/>
        <w:ind w:left="1080"/>
        <w:outlineLvl w:val="2"/>
        <w:rPr>
          <w:rFonts w:ascii="Arial" w:eastAsia="Times New Roman" w:hAnsi="Arial" w:cs="Arial"/>
          <w:b/>
          <w:bCs/>
          <w:i/>
          <w:iCs/>
          <w:sz w:val="24"/>
          <w:szCs w:val="24"/>
        </w:rPr>
      </w:pPr>
      <w:bookmarkStart w:id="33" w:name="_Toc365452291"/>
      <w:bookmarkStart w:id="34" w:name="_Toc438470534"/>
      <w:r w:rsidRPr="006F15EF">
        <w:rPr>
          <w:rFonts w:ascii="Arial" w:eastAsia="Times New Roman" w:hAnsi="Arial" w:cs="Arial"/>
          <w:b/>
          <w:bCs/>
          <w:i/>
          <w:iCs/>
          <w:sz w:val="24"/>
          <w:szCs w:val="24"/>
        </w:rPr>
        <w:t>Håndtering av punktmutasjoner som gir TKI-resistens</w:t>
      </w:r>
      <w:bookmarkEnd w:id="33"/>
      <w:bookmarkEnd w:id="34"/>
    </w:p>
    <w:p w14:paraId="1CFC61E7" w14:textId="785E4585" w:rsid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 xml:space="preserve">Punktmutasjoner i genet som koder for den ATP-bindende lommen i abl kan føre til TKI-resistens. Det er nå over 100 slike ABL-mutasjoner beskrevet </w:t>
      </w:r>
      <w:r w:rsidRPr="006F15EF">
        <w:rPr>
          <w:rFonts w:ascii="Arial" w:eastAsia="Times New Roman" w:hAnsi="Arial" w:cs="Arial"/>
          <w:noProof/>
          <w:sz w:val="24"/>
          <w:szCs w:val="24"/>
        </w:rPr>
        <w:t>(14)</w:t>
      </w:r>
      <w:r w:rsidRPr="006F15EF">
        <w:rPr>
          <w:rFonts w:ascii="Arial" w:eastAsia="Times New Roman" w:hAnsi="Arial" w:cs="Arial"/>
          <w:sz w:val="24"/>
          <w:szCs w:val="24"/>
        </w:rPr>
        <w:t xml:space="preserve">. De klinisk relevante mutasjonene fører til bytting av aminosyrer som enten sterisk hindrer TKI-binding (f.eks T315I) eller påvirker bcr-abl konformasjon slik at TKI ikke kan binde. Dasatinib, nilotinib og bosutinib har mindre krav til konformasjonen av bcr-abl enn imatinib. Derfor er det færre mutasjoner som gir resistens mot 2TKIene. Ponatinib er utviklet for å hemme T315I, som alle andre midler er ineffektive mot. Ponatinib virker godt på T315I men også en rekke andre mutasjoner eller andre resistensmekanismer. ABL-mutasjoner er ansvarlige for imatinibresistens i ca 40% av tilfellene av behandlingssvikt. De er uvanlige i tidlig kronisk fase, men forekomsten øker med utvikling av sykdommen, sannsynligvis som en manifestasjon av genetisk instabilitet. In vitro data for de forskjellige TKIers effekt ved gitte mutasjoner korrelerer brukbart med klinisk effekt og kan veilede i valg av neste TKI </w:t>
      </w:r>
      <w:r w:rsidRPr="006F15EF">
        <w:rPr>
          <w:rFonts w:ascii="Arial" w:eastAsia="Times New Roman" w:hAnsi="Arial" w:cs="Arial"/>
          <w:noProof/>
          <w:sz w:val="24"/>
          <w:szCs w:val="24"/>
        </w:rPr>
        <w:t>(14)</w:t>
      </w:r>
      <w:r w:rsidRPr="006F15EF">
        <w:rPr>
          <w:rFonts w:ascii="Arial" w:eastAsia="Times New Roman" w:hAnsi="Arial" w:cs="Arial"/>
          <w:sz w:val="24"/>
          <w:szCs w:val="24"/>
        </w:rPr>
        <w:t>. Se Tabell i ELNs behandlingsanbefaling</w:t>
      </w:r>
      <w:r w:rsidR="006B193F">
        <w:rPr>
          <w:rFonts w:ascii="Arial" w:eastAsia="Times New Roman" w:hAnsi="Arial" w:cs="Arial"/>
          <w:sz w:val="24"/>
          <w:szCs w:val="24"/>
        </w:rPr>
        <w:t xml:space="preserve"> fra 2013</w:t>
      </w:r>
      <w:r w:rsidRPr="006F15EF">
        <w:rPr>
          <w:rFonts w:ascii="Arial" w:eastAsia="Times New Roman" w:hAnsi="Arial" w:cs="Arial"/>
          <w:sz w:val="24"/>
          <w:szCs w:val="24"/>
        </w:rPr>
        <w:t xml:space="preserve"> </w:t>
      </w:r>
      <w:r w:rsidRPr="006F15EF">
        <w:rPr>
          <w:rFonts w:ascii="Arial" w:eastAsia="Times New Roman" w:hAnsi="Arial" w:cs="Arial"/>
          <w:noProof/>
          <w:sz w:val="24"/>
          <w:szCs w:val="24"/>
        </w:rPr>
        <w:t>(2)</w:t>
      </w:r>
      <w:r w:rsidRPr="006F15EF">
        <w:rPr>
          <w:rFonts w:ascii="Arial" w:eastAsia="Times New Roman" w:hAnsi="Arial" w:cs="Arial"/>
          <w:sz w:val="24"/>
          <w:szCs w:val="24"/>
        </w:rPr>
        <w:t>. Funn av p-loop ABL mutasjon (aminosyre 248-255) under imatinibbehandling er assosiert med utvikling av blastfase om man ikke skifter behandling. Generelt anbefales det å prøve dasatinib om det foreligger andre mutasjoner enn T315I, F317L eller V299L. Nilotinib vil oftest ikke virke om det foreligger bytting av aminosyre i posisjon 248- 255, 315 eller 359. Ved mutasjon bør man alltid vurdere</w:t>
      </w:r>
      <w:r w:rsidR="00882132">
        <w:rPr>
          <w:rFonts w:ascii="Arial" w:eastAsia="Times New Roman" w:hAnsi="Arial" w:cs="Arial"/>
          <w:sz w:val="24"/>
          <w:szCs w:val="24"/>
        </w:rPr>
        <w:t>og</w:t>
      </w:r>
      <w:r w:rsidR="00882132" w:rsidRPr="006F15EF">
        <w:rPr>
          <w:rFonts w:ascii="Arial" w:eastAsia="Times New Roman" w:hAnsi="Arial" w:cs="Arial"/>
          <w:sz w:val="24"/>
          <w:szCs w:val="24"/>
        </w:rPr>
        <w:t xml:space="preserve"> </w:t>
      </w:r>
      <w:r w:rsidRPr="006F15EF">
        <w:rPr>
          <w:rFonts w:ascii="Arial" w:eastAsia="Times New Roman" w:hAnsi="Arial" w:cs="Arial"/>
          <w:sz w:val="24"/>
          <w:szCs w:val="24"/>
        </w:rPr>
        <w:t xml:space="preserve">evt utrede mulighetene for allo-SCT.Påvises mutasjon T315I </w:t>
      </w:r>
      <w:r w:rsidR="00A621D1">
        <w:rPr>
          <w:rFonts w:ascii="Arial" w:eastAsia="Times New Roman" w:hAnsi="Arial" w:cs="Arial"/>
          <w:sz w:val="24"/>
          <w:szCs w:val="24"/>
        </w:rPr>
        <w:t>skal</w:t>
      </w:r>
      <w:r w:rsidR="00A621D1" w:rsidRPr="006F15EF">
        <w:rPr>
          <w:rFonts w:ascii="Arial" w:eastAsia="Times New Roman" w:hAnsi="Arial" w:cs="Arial"/>
          <w:sz w:val="24"/>
          <w:szCs w:val="24"/>
        </w:rPr>
        <w:t xml:space="preserve"> </w:t>
      </w:r>
      <w:r w:rsidRPr="006F15EF">
        <w:rPr>
          <w:rFonts w:ascii="Arial" w:eastAsia="Times New Roman" w:hAnsi="Arial" w:cs="Arial"/>
          <w:sz w:val="24"/>
          <w:szCs w:val="24"/>
        </w:rPr>
        <w:t>man benytte ponatinib</w:t>
      </w:r>
      <w:r w:rsidR="002F370A">
        <w:rPr>
          <w:rFonts w:ascii="Arial" w:eastAsia="Times New Roman" w:hAnsi="Arial" w:cs="Arial"/>
          <w:sz w:val="24"/>
          <w:szCs w:val="24"/>
        </w:rPr>
        <w:t xml:space="preserve"> med hensyn til god at</w:t>
      </w:r>
      <w:r w:rsidR="00C03DC7">
        <w:rPr>
          <w:rFonts w:ascii="Arial" w:eastAsia="Times New Roman" w:hAnsi="Arial" w:cs="Arial"/>
          <w:sz w:val="24"/>
          <w:szCs w:val="24"/>
        </w:rPr>
        <w:t>erotrombo-profylakse</w:t>
      </w:r>
      <w:r w:rsidR="001B341D">
        <w:rPr>
          <w:rFonts w:ascii="Arial" w:eastAsia="Times New Roman" w:hAnsi="Arial" w:cs="Arial"/>
          <w:sz w:val="24"/>
          <w:szCs w:val="24"/>
        </w:rPr>
        <w:t xml:space="preserve"> </w:t>
      </w:r>
      <w:commentRangeStart w:id="35"/>
      <w:r w:rsidRPr="006F15EF">
        <w:rPr>
          <w:rFonts w:ascii="Arial" w:eastAsia="Times New Roman" w:hAnsi="Arial" w:cs="Arial"/>
          <w:noProof/>
          <w:sz w:val="24"/>
          <w:szCs w:val="24"/>
        </w:rPr>
        <w:t>(15)</w:t>
      </w:r>
      <w:r w:rsidRPr="006F15EF">
        <w:rPr>
          <w:rFonts w:ascii="Arial" w:eastAsia="Times New Roman" w:hAnsi="Arial" w:cs="Arial"/>
          <w:sz w:val="24"/>
          <w:szCs w:val="24"/>
        </w:rPr>
        <w:t xml:space="preserve">. </w:t>
      </w:r>
      <w:commentRangeEnd w:id="35"/>
      <w:r w:rsidR="001B341D">
        <w:rPr>
          <w:rStyle w:val="CommentReference"/>
        </w:rPr>
        <w:commentReference w:id="35"/>
      </w:r>
      <w:r w:rsidRPr="006F15EF">
        <w:rPr>
          <w:rFonts w:ascii="Arial" w:eastAsia="Times New Roman" w:hAnsi="Arial" w:cs="Arial"/>
          <w:sz w:val="24"/>
          <w:szCs w:val="24"/>
        </w:rPr>
        <w:t xml:space="preserve">Alternativer ellers er </w:t>
      </w:r>
      <w:r w:rsidR="006B193F">
        <w:rPr>
          <w:rFonts w:ascii="Arial" w:eastAsia="Times New Roman" w:hAnsi="Arial" w:cs="Arial"/>
          <w:sz w:val="24"/>
          <w:szCs w:val="24"/>
        </w:rPr>
        <w:t xml:space="preserve">asciminib og </w:t>
      </w:r>
      <w:r w:rsidRPr="006F15EF">
        <w:rPr>
          <w:rFonts w:ascii="Arial" w:eastAsia="Times New Roman" w:hAnsi="Arial" w:cs="Arial"/>
          <w:sz w:val="24"/>
          <w:szCs w:val="24"/>
        </w:rPr>
        <w:t>pegylert interferon</w:t>
      </w:r>
      <w:r w:rsidR="0050725A">
        <w:rPr>
          <w:rFonts w:ascii="Arial" w:eastAsia="Times New Roman" w:hAnsi="Arial" w:cs="Arial"/>
          <w:sz w:val="24"/>
          <w:szCs w:val="24"/>
        </w:rPr>
        <w:t>.</w:t>
      </w:r>
      <w:r w:rsidRPr="006F15EF">
        <w:rPr>
          <w:rFonts w:ascii="Arial" w:eastAsia="Times New Roman" w:hAnsi="Arial" w:cs="Arial"/>
          <w:sz w:val="24"/>
          <w:szCs w:val="24"/>
        </w:rPr>
        <w:t xml:space="preserve"> </w:t>
      </w:r>
    </w:p>
    <w:p w14:paraId="3CA70CE9" w14:textId="77777777" w:rsidR="006B193F" w:rsidRPr="006F15EF" w:rsidRDefault="006B193F" w:rsidP="006F15EF">
      <w:pPr>
        <w:widowControl w:val="0"/>
        <w:spacing w:after="0" w:line="240" w:lineRule="auto"/>
        <w:ind w:left="567"/>
        <w:rPr>
          <w:rFonts w:ascii="Arial" w:eastAsia="Times New Roman" w:hAnsi="Arial" w:cs="Arial"/>
          <w:sz w:val="24"/>
          <w:szCs w:val="24"/>
        </w:rPr>
      </w:pPr>
    </w:p>
    <w:p w14:paraId="19449D75" w14:textId="76763140" w:rsidR="006F15EF" w:rsidRDefault="006F15EF" w:rsidP="006F15EF">
      <w:pPr>
        <w:keepNext/>
        <w:widowControl w:val="0"/>
        <w:numPr>
          <w:ilvl w:val="2"/>
          <w:numId w:val="1"/>
        </w:numPr>
        <w:tabs>
          <w:tab w:val="left" w:pos="1418"/>
        </w:tabs>
        <w:spacing w:before="200" w:after="200" w:line="240" w:lineRule="auto"/>
        <w:ind w:left="1080"/>
        <w:outlineLvl w:val="2"/>
        <w:rPr>
          <w:rFonts w:ascii="Arial" w:eastAsia="Times New Roman" w:hAnsi="Arial" w:cs="Arial"/>
          <w:b/>
          <w:bCs/>
          <w:i/>
          <w:iCs/>
          <w:sz w:val="24"/>
          <w:szCs w:val="24"/>
        </w:rPr>
      </w:pPr>
      <w:bookmarkStart w:id="36" w:name="_Toc365452292"/>
      <w:bookmarkStart w:id="37" w:name="_Toc438470535"/>
      <w:r w:rsidRPr="006F15EF">
        <w:rPr>
          <w:rFonts w:ascii="Arial" w:eastAsia="Times New Roman" w:hAnsi="Arial" w:cs="Arial"/>
          <w:b/>
          <w:bCs/>
          <w:i/>
          <w:iCs/>
          <w:sz w:val="24"/>
          <w:szCs w:val="24"/>
        </w:rPr>
        <w:t>Takling av intoleranse for TKI</w:t>
      </w:r>
      <w:bookmarkEnd w:id="36"/>
      <w:bookmarkEnd w:id="37"/>
    </w:p>
    <w:p w14:paraId="2F4C6115" w14:textId="77777777" w:rsidR="009068EC" w:rsidRPr="006F15EF" w:rsidRDefault="009068EC" w:rsidP="00070CA3">
      <w:pPr>
        <w:keepNext/>
        <w:widowControl w:val="0"/>
        <w:tabs>
          <w:tab w:val="left" w:pos="1418"/>
        </w:tabs>
        <w:spacing w:before="200" w:after="200" w:line="240" w:lineRule="auto"/>
        <w:ind w:left="1080"/>
        <w:outlineLvl w:val="2"/>
        <w:rPr>
          <w:rFonts w:ascii="Arial" w:eastAsia="Times New Roman" w:hAnsi="Arial" w:cs="Arial"/>
          <w:b/>
          <w:bCs/>
          <w:i/>
          <w:iCs/>
          <w:sz w:val="24"/>
          <w:szCs w:val="24"/>
        </w:rPr>
      </w:pPr>
    </w:p>
    <w:p w14:paraId="7859505E" w14:textId="77777777" w:rsidR="006F15EF" w:rsidRPr="006F15EF" w:rsidRDefault="00C03DC7" w:rsidP="006F15EF">
      <w:pPr>
        <w:keepNext/>
        <w:widowControl w:val="0"/>
        <w:numPr>
          <w:ilvl w:val="3"/>
          <w:numId w:val="1"/>
        </w:numPr>
        <w:tabs>
          <w:tab w:val="num" w:pos="1620"/>
          <w:tab w:val="left" w:pos="1701"/>
        </w:tabs>
        <w:spacing w:before="200" w:after="200" w:line="240" w:lineRule="auto"/>
        <w:ind w:left="1080"/>
        <w:outlineLvl w:val="3"/>
        <w:rPr>
          <w:rFonts w:ascii="Arial" w:eastAsia="Times New Roman" w:hAnsi="Arial" w:cs="Arial"/>
          <w:i/>
          <w:iCs/>
          <w:sz w:val="24"/>
          <w:szCs w:val="24"/>
        </w:rPr>
      </w:pPr>
      <w:r>
        <w:rPr>
          <w:rFonts w:ascii="Arial" w:eastAsia="Times New Roman" w:hAnsi="Arial" w:cs="Arial"/>
          <w:i/>
          <w:iCs/>
          <w:sz w:val="24"/>
          <w:szCs w:val="24"/>
        </w:rPr>
        <w:t xml:space="preserve"> </w:t>
      </w:r>
      <w:r w:rsidR="006F15EF" w:rsidRPr="006F15EF">
        <w:rPr>
          <w:rFonts w:ascii="Arial" w:eastAsia="Times New Roman" w:hAnsi="Arial" w:cs="Arial"/>
          <w:i/>
          <w:iCs/>
          <w:sz w:val="24"/>
          <w:szCs w:val="24"/>
        </w:rPr>
        <w:t>Hematologisk toksistet (gjelder alle TKI):</w:t>
      </w:r>
    </w:p>
    <w:p w14:paraId="156D0F33" w14:textId="71EEADAC" w:rsidR="006F15EF" w:rsidRPr="006F15EF" w:rsidRDefault="006F15EF" w:rsidP="006F15EF">
      <w:pPr>
        <w:widowControl w:val="0"/>
        <w:spacing w:after="0" w:line="240" w:lineRule="auto"/>
        <w:ind w:left="567"/>
        <w:rPr>
          <w:rFonts w:ascii="Arial" w:eastAsia="Times New Roman" w:hAnsi="Arial" w:cs="Arial"/>
          <w:b/>
          <w:bCs/>
          <w:sz w:val="24"/>
          <w:szCs w:val="24"/>
        </w:rPr>
      </w:pPr>
      <w:r w:rsidRPr="006F15EF">
        <w:rPr>
          <w:rFonts w:ascii="Arial" w:eastAsia="Times New Roman" w:hAnsi="Arial" w:cs="Arial"/>
          <w:sz w:val="24"/>
          <w:szCs w:val="24"/>
        </w:rPr>
        <w:t>Hematologisk toksisitet er hyppig ved TKI--behandling, antagelig forårsaket av hemming av den bcr-abl-drevne hematopoiesen, og at det følgelig tar tid å gjenreise Ph-negativ, frisk hematopoese. Toleransegrensene for granulo- og trombocytopeni må ses i forhold til totalrisiko og varighet av cytopeni. Opprettholdelse av doseintensitet uten doseopphold er viktig for et godt resultat. Under forutsetning av tett oppfølging i denne fasen, mener vi at doseintensiteten bør opprettholdes så lenge granulocyttallet er over 0.5 x10</w:t>
      </w:r>
      <w:r w:rsidRPr="006F15EF">
        <w:rPr>
          <w:rFonts w:ascii="Arial" w:eastAsia="Times New Roman" w:hAnsi="Arial" w:cs="Arial"/>
          <w:sz w:val="24"/>
          <w:szCs w:val="24"/>
          <w:vertAlign w:val="superscript"/>
        </w:rPr>
        <w:t>9</w:t>
      </w:r>
      <w:r w:rsidRPr="006F15EF">
        <w:rPr>
          <w:rFonts w:ascii="Arial" w:eastAsia="Times New Roman" w:hAnsi="Arial" w:cs="Arial"/>
          <w:sz w:val="24"/>
          <w:szCs w:val="24"/>
        </w:rPr>
        <w:t xml:space="preserve"> /L og trombocyttallet ikke faller under 30 x10</w:t>
      </w:r>
      <w:r w:rsidRPr="006F15EF">
        <w:rPr>
          <w:rFonts w:ascii="Arial" w:eastAsia="Times New Roman" w:hAnsi="Arial" w:cs="Arial"/>
          <w:sz w:val="24"/>
          <w:szCs w:val="24"/>
          <w:vertAlign w:val="superscript"/>
        </w:rPr>
        <w:t>9</w:t>
      </w:r>
      <w:r w:rsidRPr="006F15EF">
        <w:rPr>
          <w:rFonts w:ascii="Arial" w:eastAsia="Times New Roman" w:hAnsi="Arial" w:cs="Arial"/>
          <w:sz w:val="24"/>
          <w:szCs w:val="24"/>
        </w:rPr>
        <w:t xml:space="preserve"> /L. Kinetikken i fallet av blodlegemer er erfaringsmessig viktig, slik at raske fall ofte vil gi dypere nadir enn langsomme fall. G-CSF / transfusjoner</w:t>
      </w:r>
      <w:r w:rsidR="002F47C1">
        <w:rPr>
          <w:rFonts w:ascii="Arial" w:eastAsia="Times New Roman" w:hAnsi="Arial" w:cs="Arial"/>
          <w:sz w:val="24"/>
          <w:szCs w:val="24"/>
        </w:rPr>
        <w:t>/ TPO-agonist</w:t>
      </w:r>
      <w:r w:rsidRPr="006F15EF">
        <w:rPr>
          <w:rFonts w:ascii="Arial" w:eastAsia="Times New Roman" w:hAnsi="Arial" w:cs="Arial"/>
          <w:sz w:val="24"/>
          <w:szCs w:val="24"/>
        </w:rPr>
        <w:t xml:space="preserve">er aktuelt (evidensgrad D). Dersom støttebehandling er nødvendig over lang tid, er det grunn til å reevaluere behandlingsopplegget ved å vurdere dosereduksjon eller bytte til annen TKI ved alvorlige eller mindre alvorlige </w:t>
      </w:r>
      <w:r w:rsidRPr="006F15EF">
        <w:rPr>
          <w:rFonts w:ascii="Arial" w:eastAsia="Times New Roman" w:hAnsi="Arial" w:cs="Arial"/>
          <w:sz w:val="24"/>
          <w:szCs w:val="24"/>
        </w:rPr>
        <w:lastRenderedPageBreak/>
        <w:t>men langtrukne bivirkninger. Nilotinib har min</w:t>
      </w:r>
      <w:r w:rsidR="00726FF0">
        <w:rPr>
          <w:rFonts w:ascii="Arial" w:eastAsia="Times New Roman" w:hAnsi="Arial" w:cs="Arial"/>
          <w:sz w:val="24"/>
          <w:szCs w:val="24"/>
        </w:rPr>
        <w:t>dre</w:t>
      </w:r>
      <w:r w:rsidR="009068EC">
        <w:rPr>
          <w:rFonts w:ascii="Arial" w:eastAsia="Times New Roman" w:hAnsi="Arial" w:cs="Arial"/>
          <w:sz w:val="24"/>
          <w:szCs w:val="24"/>
        </w:rPr>
        <w:t xml:space="preserve"> </w:t>
      </w:r>
      <w:r w:rsidRPr="006F15EF">
        <w:rPr>
          <w:rFonts w:ascii="Arial" w:eastAsia="Times New Roman" w:hAnsi="Arial" w:cs="Arial"/>
          <w:sz w:val="24"/>
          <w:szCs w:val="24"/>
        </w:rPr>
        <w:t>hematologisk toksistet</w:t>
      </w:r>
      <w:r w:rsidR="00726FF0">
        <w:rPr>
          <w:rFonts w:ascii="Arial" w:eastAsia="Times New Roman" w:hAnsi="Arial" w:cs="Arial"/>
          <w:sz w:val="24"/>
          <w:szCs w:val="24"/>
        </w:rPr>
        <w:t xml:space="preserve"> enn</w:t>
      </w:r>
      <w:r w:rsidRPr="006F15EF">
        <w:rPr>
          <w:rFonts w:ascii="Arial" w:eastAsia="Times New Roman" w:hAnsi="Arial" w:cs="Arial"/>
          <w:sz w:val="24"/>
          <w:szCs w:val="24"/>
        </w:rPr>
        <w:t xml:space="preserve"> imatinib</w:t>
      </w:r>
      <w:r w:rsidR="00726FF0">
        <w:rPr>
          <w:rFonts w:ascii="Arial" w:eastAsia="Times New Roman" w:hAnsi="Arial" w:cs="Arial"/>
          <w:sz w:val="24"/>
          <w:szCs w:val="24"/>
        </w:rPr>
        <w:t xml:space="preserve">, </w:t>
      </w:r>
      <w:r w:rsidR="00726FF0" w:rsidRPr="006F15EF">
        <w:rPr>
          <w:rFonts w:ascii="Arial" w:eastAsia="Times New Roman" w:hAnsi="Arial" w:cs="Arial"/>
          <w:sz w:val="24"/>
          <w:szCs w:val="24"/>
        </w:rPr>
        <w:t xml:space="preserve"> bosutinib </w:t>
      </w:r>
      <w:r w:rsidRPr="006F15EF">
        <w:rPr>
          <w:rFonts w:ascii="Arial" w:eastAsia="Times New Roman" w:hAnsi="Arial" w:cs="Arial"/>
          <w:sz w:val="24"/>
          <w:szCs w:val="24"/>
        </w:rPr>
        <w:t xml:space="preserve">og dasatinib </w:t>
      </w:r>
      <w:r w:rsidR="004F6F2E" w:rsidRPr="006F15EF">
        <w:rPr>
          <w:rFonts w:ascii="Arial" w:eastAsia="Times New Roman" w:hAnsi="Arial" w:cs="Arial"/>
          <w:sz w:val="24"/>
          <w:szCs w:val="24"/>
        </w:rPr>
        <w:t>noe mer</w:t>
      </w:r>
      <w:r w:rsidRPr="006F15EF">
        <w:rPr>
          <w:rFonts w:ascii="Arial" w:eastAsia="Times New Roman" w:hAnsi="Arial" w:cs="Arial"/>
          <w:sz w:val="24"/>
          <w:szCs w:val="24"/>
        </w:rPr>
        <w:t xml:space="preserve">. Anbefalt minimal dose imatinib er 300mg daglig. Minimal dose er mer usikkert for 2TKIer der doser ned til 200-400mg x1 (nilotinib) </w:t>
      </w:r>
      <w:r w:rsidR="00726FF0">
        <w:rPr>
          <w:rFonts w:ascii="Arial" w:eastAsia="Times New Roman" w:hAnsi="Arial" w:cs="Arial"/>
          <w:sz w:val="24"/>
          <w:szCs w:val="24"/>
        </w:rPr>
        <w:t>200mg x1 (bosutinib)</w:t>
      </w:r>
      <w:r w:rsidR="0050725A">
        <w:rPr>
          <w:rFonts w:ascii="Arial" w:eastAsia="Times New Roman" w:hAnsi="Arial" w:cs="Arial"/>
          <w:sz w:val="24"/>
          <w:szCs w:val="24"/>
        </w:rPr>
        <w:t xml:space="preserve"> </w:t>
      </w:r>
      <w:r w:rsidRPr="006F15EF">
        <w:rPr>
          <w:rFonts w:ascii="Arial" w:eastAsia="Times New Roman" w:hAnsi="Arial" w:cs="Arial"/>
          <w:sz w:val="24"/>
          <w:szCs w:val="24"/>
        </w:rPr>
        <w:t>og 20-40mg x1 (dasatinib) har fått pasienter gjennom cytopenifas</w:t>
      </w:r>
      <w:r w:rsidR="00726FF0">
        <w:rPr>
          <w:rFonts w:ascii="Arial" w:eastAsia="Times New Roman" w:hAnsi="Arial" w:cs="Arial"/>
          <w:sz w:val="24"/>
          <w:szCs w:val="24"/>
        </w:rPr>
        <w:t>e</w:t>
      </w:r>
      <w:r w:rsidRPr="006F15EF">
        <w:rPr>
          <w:rFonts w:ascii="Arial" w:eastAsia="Times New Roman" w:hAnsi="Arial" w:cs="Arial"/>
          <w:sz w:val="24"/>
          <w:szCs w:val="24"/>
        </w:rPr>
        <w:t>n.</w:t>
      </w:r>
      <w:r w:rsidR="002F47C1">
        <w:rPr>
          <w:rFonts w:ascii="Arial" w:eastAsia="Times New Roman" w:hAnsi="Arial" w:cs="Arial"/>
          <w:sz w:val="24"/>
          <w:szCs w:val="24"/>
        </w:rPr>
        <w:t xml:space="preserve"> Så lenge man monitorerer er det et visst spillerom.  </w:t>
      </w:r>
    </w:p>
    <w:p w14:paraId="13ECE47B" w14:textId="04456E68" w:rsidR="006F15EF" w:rsidRPr="006F15EF" w:rsidRDefault="00503048" w:rsidP="006F15EF">
      <w:pPr>
        <w:keepNext/>
        <w:widowControl w:val="0"/>
        <w:numPr>
          <w:ilvl w:val="3"/>
          <w:numId w:val="1"/>
        </w:numPr>
        <w:tabs>
          <w:tab w:val="left" w:pos="1701"/>
        </w:tabs>
        <w:spacing w:before="200" w:after="200" w:line="240" w:lineRule="auto"/>
        <w:ind w:left="1080"/>
        <w:outlineLvl w:val="3"/>
        <w:rPr>
          <w:rFonts w:ascii="Arial" w:eastAsia="Times New Roman" w:hAnsi="Arial" w:cs="Arial"/>
          <w:b/>
          <w:bCs/>
          <w:i/>
          <w:iCs/>
          <w:sz w:val="24"/>
          <w:szCs w:val="24"/>
        </w:rPr>
      </w:pPr>
      <w:r>
        <w:rPr>
          <w:rFonts w:ascii="Arial" w:eastAsia="Times New Roman" w:hAnsi="Arial" w:cs="Arial"/>
          <w:i/>
          <w:iCs/>
          <w:sz w:val="24"/>
          <w:szCs w:val="24"/>
        </w:rPr>
        <w:t xml:space="preserve"> </w:t>
      </w:r>
      <w:r w:rsidR="006F15EF" w:rsidRPr="006F15EF">
        <w:rPr>
          <w:rFonts w:ascii="Arial" w:eastAsia="Times New Roman" w:hAnsi="Arial" w:cs="Arial"/>
          <w:i/>
          <w:iCs/>
          <w:sz w:val="24"/>
          <w:szCs w:val="24"/>
        </w:rPr>
        <w:t>Ikke-hematologisk toksistet</w:t>
      </w:r>
    </w:p>
    <w:p w14:paraId="02060B12" w14:textId="4CDD696C"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Imatinib:</w:t>
      </w:r>
      <w:r w:rsidRPr="006F15EF">
        <w:rPr>
          <w:rFonts w:ascii="Arial" w:eastAsia="Times New Roman" w:hAnsi="Arial" w:cs="Arial"/>
          <w:sz w:val="24"/>
          <w:szCs w:val="24"/>
        </w:rPr>
        <w:t xml:space="preserve"> Tablettene tas til maten</w:t>
      </w:r>
      <w:r w:rsidR="004F6F2E">
        <w:rPr>
          <w:rFonts w:ascii="Arial" w:eastAsia="Times New Roman" w:hAnsi="Arial" w:cs="Arial"/>
          <w:sz w:val="24"/>
          <w:szCs w:val="24"/>
        </w:rPr>
        <w:t xml:space="preserve"> (gjerne største måltid)</w:t>
      </w:r>
      <w:r w:rsidRPr="006F15EF">
        <w:rPr>
          <w:rFonts w:ascii="Arial" w:eastAsia="Times New Roman" w:hAnsi="Arial" w:cs="Arial"/>
          <w:sz w:val="24"/>
          <w:szCs w:val="24"/>
        </w:rPr>
        <w:t xml:space="preserve"> for å unngå kvalme. Det er relativt få alvorlige bivirkninger. Fatal levernekrose er rapportert og gjør at hepatotoksisk medikasjon inkludert paracetamol, må brukes med forsiktighet. Imidlertid er et stort antall bivirkninger som kvalme, muskelkramper, hodepine, myalgi, artralgi, og utslett beskrevet. Enkelte tilfeller av alvorlig ødemtendens (lungeødem, pleuravæske, ascites, betydelig vektoppgang) har vært observert. Aktiv symptomatisk behandling av smerter (analgetika), perifere ødemer (diuretika, væskerestriksjon), kramper (tøyninger), utslett (lokale eller systemiske steroider), diaré (antidiarrhotika) og kvalme (tas med mat, Afipran) er aktuelt (evidensgrad D). For praktisk håndtering av imatinibbivirkninger og interaksjoner, se Felleskatalogen og </w:t>
      </w:r>
      <w:commentRangeStart w:id="38"/>
      <w:r w:rsidRPr="006F15EF">
        <w:rPr>
          <w:rFonts w:ascii="Arial" w:eastAsia="Times New Roman" w:hAnsi="Arial" w:cs="Arial"/>
          <w:noProof/>
          <w:sz w:val="24"/>
          <w:szCs w:val="24"/>
        </w:rPr>
        <w:t>(16;17)</w:t>
      </w:r>
      <w:r w:rsidRPr="006F15EF">
        <w:rPr>
          <w:rFonts w:ascii="Arial" w:eastAsia="Times New Roman" w:hAnsi="Arial" w:cs="Arial"/>
          <w:sz w:val="24"/>
          <w:szCs w:val="24"/>
        </w:rPr>
        <w:t xml:space="preserve">.  </w:t>
      </w:r>
      <w:commentRangeEnd w:id="38"/>
      <w:r w:rsidR="00C23A67">
        <w:rPr>
          <w:rStyle w:val="CommentReference"/>
        </w:rPr>
        <w:commentReference w:id="38"/>
      </w:r>
    </w:p>
    <w:p w14:paraId="3CE3507C" w14:textId="1F7F565C"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Nilotinib:</w:t>
      </w:r>
      <w:r w:rsidRPr="006F15EF">
        <w:rPr>
          <w:rFonts w:ascii="Arial" w:eastAsia="Times New Roman" w:hAnsi="Arial" w:cs="Arial"/>
          <w:sz w:val="24"/>
          <w:szCs w:val="24"/>
        </w:rPr>
        <w:t xml:space="preserve"> Pasientene tåler ofte nilotinib subjektivt bedre enn imatinib. Leveraffeksjon, biokjemisk pankreatitt og stigning av bilirubin hos pasienter med Gilbert genotype er ikke uvanlig </w:t>
      </w:r>
      <w:r w:rsidRPr="006F15EF">
        <w:rPr>
          <w:rFonts w:ascii="Arial" w:eastAsia="Times New Roman" w:hAnsi="Arial" w:cs="Arial"/>
          <w:noProof/>
          <w:sz w:val="24"/>
          <w:szCs w:val="24"/>
        </w:rPr>
        <w:t>(11)</w:t>
      </w:r>
      <w:r w:rsidRPr="006F15EF">
        <w:rPr>
          <w:rFonts w:ascii="Arial" w:eastAsia="Times New Roman" w:hAnsi="Arial" w:cs="Arial"/>
          <w:sz w:val="24"/>
          <w:szCs w:val="24"/>
        </w:rPr>
        <w:t xml:space="preserve">. </w:t>
      </w:r>
      <w:r w:rsidR="00882132">
        <w:rPr>
          <w:rFonts w:ascii="Arial" w:eastAsia="Times New Roman" w:hAnsi="Arial" w:cs="Arial"/>
          <w:sz w:val="24"/>
          <w:szCs w:val="24"/>
        </w:rPr>
        <w:t xml:space="preserve">Hudbivirkninger er vanlige. </w:t>
      </w:r>
      <w:r w:rsidRPr="006F15EF">
        <w:rPr>
          <w:rFonts w:ascii="Arial" w:eastAsia="Times New Roman" w:hAnsi="Arial" w:cs="Arial"/>
          <w:sz w:val="24"/>
          <w:szCs w:val="24"/>
        </w:rPr>
        <w:t xml:space="preserve">Forverring av diabetes og hyperkolesterolemi er rapportert. Akselerert aterosklerose (underekstremiteter, slag, angina og hjerteinfarkt) er beskrevet hos en mindre andel nilotinibbehandlede pasienter og gir grunn til bekymring i forhold til langtids behandling. Pasienter med diabetes, hypertonikere, røykere og med manifest atherosklerose er sannsynligvis mer predisponert. </w:t>
      </w:r>
      <w:r w:rsidR="009068EC">
        <w:rPr>
          <w:rFonts w:ascii="Arial" w:eastAsia="Times New Roman" w:hAnsi="Arial" w:cs="Arial"/>
          <w:sz w:val="24"/>
          <w:szCs w:val="24"/>
        </w:rPr>
        <w:t xml:space="preserve">Alder er sannsynligvis viktig. </w:t>
      </w:r>
      <w:r w:rsidRPr="006F15EF">
        <w:rPr>
          <w:rFonts w:ascii="Arial" w:eastAsia="Times New Roman" w:hAnsi="Arial" w:cs="Arial"/>
          <w:sz w:val="24"/>
          <w:szCs w:val="24"/>
        </w:rPr>
        <w:t xml:space="preserve">God behandling av diabetes, hypertoni, atherosklerosemanifestasjoner og røykestopp er logisk å tilby. Veiing av nytte mot risiko i forhold til pasientens kliniske situasjon må gjøres. Nilotinibdosen bør være 300mg x 2, </w:t>
      </w:r>
      <w:r w:rsidR="007A434C">
        <w:rPr>
          <w:rFonts w:ascii="Arial" w:eastAsia="Times New Roman" w:hAnsi="Arial" w:cs="Arial"/>
          <w:sz w:val="24"/>
          <w:szCs w:val="24"/>
        </w:rPr>
        <w:t xml:space="preserve">men ved dårlig respons kan dosen økes til </w:t>
      </w:r>
      <w:r w:rsidRPr="006F15EF">
        <w:rPr>
          <w:rFonts w:ascii="Arial" w:eastAsia="Times New Roman" w:hAnsi="Arial" w:cs="Arial"/>
          <w:sz w:val="24"/>
          <w:szCs w:val="24"/>
        </w:rPr>
        <w:t>400mg x2</w:t>
      </w:r>
      <w:r w:rsidR="007A434C">
        <w:rPr>
          <w:rFonts w:ascii="Arial" w:eastAsia="Times New Roman" w:hAnsi="Arial" w:cs="Arial"/>
          <w:sz w:val="24"/>
          <w:szCs w:val="24"/>
        </w:rPr>
        <w:t xml:space="preserve">. Denne høyeste dosen </w:t>
      </w:r>
      <w:r w:rsidRPr="006F15EF">
        <w:rPr>
          <w:rFonts w:ascii="Arial" w:eastAsia="Times New Roman" w:hAnsi="Arial" w:cs="Arial"/>
          <w:sz w:val="24"/>
          <w:szCs w:val="24"/>
        </w:rPr>
        <w:t>gir en tydelig økning av risiko for</w:t>
      </w:r>
      <w:r w:rsidR="007A434C">
        <w:rPr>
          <w:rFonts w:ascii="Arial" w:eastAsia="Times New Roman" w:hAnsi="Arial" w:cs="Arial"/>
          <w:sz w:val="24"/>
          <w:szCs w:val="24"/>
        </w:rPr>
        <w:t xml:space="preserve"> slike ikke-reversible</w:t>
      </w:r>
      <w:r w:rsidRPr="006F15EF">
        <w:rPr>
          <w:rFonts w:ascii="Arial" w:eastAsia="Times New Roman" w:hAnsi="Arial" w:cs="Arial"/>
          <w:sz w:val="24"/>
          <w:szCs w:val="24"/>
        </w:rPr>
        <w:t xml:space="preserve"> bivirkninger.</w:t>
      </w:r>
    </w:p>
    <w:p w14:paraId="77937F8F" w14:textId="3536A532"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Dasatinib:</w:t>
      </w:r>
      <w:r w:rsidRPr="006F15EF">
        <w:rPr>
          <w:rFonts w:ascii="Arial" w:eastAsia="Times New Roman" w:hAnsi="Arial" w:cs="Arial"/>
          <w:sz w:val="24"/>
          <w:szCs w:val="24"/>
        </w:rPr>
        <w:t xml:space="preserve"> Pasientene tåler ofte dasatinib subjektivt bedre enn imatinib. Dasatinib kan et pleuropulmonalt syndrom med immunaktivering som kan gi</w:t>
      </w:r>
      <w:r w:rsidR="006378F1">
        <w:rPr>
          <w:rFonts w:ascii="Arial" w:eastAsia="Times New Roman" w:hAnsi="Arial" w:cs="Arial"/>
          <w:sz w:val="24"/>
          <w:szCs w:val="24"/>
        </w:rPr>
        <w:t xml:space="preserve"> </w:t>
      </w:r>
      <w:r w:rsidRPr="006F15EF">
        <w:rPr>
          <w:rFonts w:ascii="Arial" w:eastAsia="Times New Roman" w:hAnsi="Arial" w:cs="Arial"/>
          <w:sz w:val="24"/>
          <w:szCs w:val="24"/>
        </w:rPr>
        <w:t>pleuravæske, perikardvæske</w:t>
      </w:r>
      <w:r w:rsidR="004F6F2E">
        <w:rPr>
          <w:rFonts w:ascii="Arial" w:eastAsia="Times New Roman" w:hAnsi="Arial" w:cs="Arial"/>
          <w:sz w:val="24"/>
          <w:szCs w:val="24"/>
        </w:rPr>
        <w:t>, lungeinfiltrater</w:t>
      </w:r>
      <w:r w:rsidRPr="006F15EF">
        <w:rPr>
          <w:rFonts w:ascii="Arial" w:eastAsia="Times New Roman" w:hAnsi="Arial" w:cs="Arial"/>
          <w:sz w:val="24"/>
          <w:szCs w:val="24"/>
        </w:rPr>
        <w:t xml:space="preserve"> og dyspné hos så mange som 20% av pasientene i et treårs perspektiv </w:t>
      </w:r>
      <w:r w:rsidRPr="006F15EF">
        <w:rPr>
          <w:rFonts w:ascii="Arial" w:eastAsia="Times New Roman" w:hAnsi="Arial" w:cs="Arial"/>
          <w:noProof/>
          <w:sz w:val="24"/>
          <w:szCs w:val="24"/>
        </w:rPr>
        <w:t>(10)</w:t>
      </w:r>
      <w:r w:rsidRPr="006F15EF">
        <w:rPr>
          <w:rFonts w:ascii="Arial" w:eastAsia="Times New Roman" w:hAnsi="Arial" w:cs="Arial"/>
          <w:sz w:val="24"/>
          <w:szCs w:val="24"/>
        </w:rPr>
        <w:t>.</w:t>
      </w:r>
      <w:r w:rsidR="004F6F2E">
        <w:rPr>
          <w:rFonts w:ascii="Arial" w:eastAsia="Times New Roman" w:hAnsi="Arial" w:cs="Arial"/>
          <w:sz w:val="24"/>
          <w:szCs w:val="24"/>
        </w:rPr>
        <w:t xml:space="preserve"> </w:t>
      </w:r>
      <w:r w:rsidRPr="006F15EF">
        <w:rPr>
          <w:rFonts w:ascii="Arial" w:eastAsia="Times New Roman" w:hAnsi="Arial" w:cs="Arial"/>
          <w:sz w:val="24"/>
          <w:szCs w:val="24"/>
        </w:rPr>
        <w:t xml:space="preserve">Høyere alder, hjerte-lungesykdom og pasienter med autoimmune sykdommer synes å være predisponert. Pleuratapping </w:t>
      </w:r>
      <w:r w:rsidR="001B70AD">
        <w:rPr>
          <w:rFonts w:ascii="Arial" w:eastAsia="Times New Roman" w:hAnsi="Arial" w:cs="Arial"/>
          <w:sz w:val="24"/>
          <w:szCs w:val="24"/>
        </w:rPr>
        <w:t>kan bli</w:t>
      </w:r>
      <w:r w:rsidRPr="006F15EF">
        <w:rPr>
          <w:rFonts w:ascii="Arial" w:eastAsia="Times New Roman" w:hAnsi="Arial" w:cs="Arial"/>
          <w:sz w:val="24"/>
          <w:szCs w:val="24"/>
        </w:rPr>
        <w:t xml:space="preserve"> nødvendig, men syndromet er ofte følsomt</w:t>
      </w:r>
      <w:r w:rsidR="001B70AD">
        <w:rPr>
          <w:rFonts w:ascii="Arial" w:eastAsia="Times New Roman" w:hAnsi="Arial" w:cs="Arial"/>
          <w:sz w:val="24"/>
          <w:szCs w:val="24"/>
        </w:rPr>
        <w:t xml:space="preserve"> for behandlingspause</w:t>
      </w:r>
      <w:r w:rsidRPr="006F15EF">
        <w:rPr>
          <w:rFonts w:ascii="Arial" w:eastAsia="Times New Roman" w:hAnsi="Arial" w:cs="Arial"/>
          <w:sz w:val="24"/>
          <w:szCs w:val="24"/>
        </w:rPr>
        <w:t xml:space="preserve"> </w:t>
      </w:r>
      <w:r w:rsidR="001B70AD">
        <w:rPr>
          <w:rFonts w:ascii="Arial" w:eastAsia="Times New Roman" w:hAnsi="Arial" w:cs="Arial"/>
          <w:sz w:val="24"/>
          <w:szCs w:val="24"/>
        </w:rPr>
        <w:t>og</w:t>
      </w:r>
      <w:r w:rsidR="001B70AD" w:rsidRPr="006F15EF">
        <w:rPr>
          <w:rFonts w:ascii="Arial" w:eastAsia="Times New Roman" w:hAnsi="Arial" w:cs="Arial"/>
          <w:sz w:val="24"/>
          <w:szCs w:val="24"/>
        </w:rPr>
        <w:t xml:space="preserve"> </w:t>
      </w:r>
      <w:r w:rsidRPr="006F15EF">
        <w:rPr>
          <w:rFonts w:ascii="Arial" w:eastAsia="Times New Roman" w:hAnsi="Arial" w:cs="Arial"/>
          <w:sz w:val="24"/>
          <w:szCs w:val="24"/>
        </w:rPr>
        <w:t>steroider.  Tegn på væskeretensjon og lungesymptomer bør tas alvorlig og raskt utredes med røntgen eller CT thorax. Dasatinib-assosiert lymfocyttær serositt (oftest pleuritt) er assosiert med god antileukemisk respons. Man kan ofte tåle noen ukers pause i behandlingen uten vesentlig responstap. Det er også beskrevet tilfeller av reversibel økning av lungearterietrykket (pulmonal arteriell hypertensjon, PAH). Dersom pasienter har dyspnoe, bør man utelukke pleuritt og utrede mht PAH med ekkokardiografi eller invasiv trykkmåling</w:t>
      </w:r>
      <w:r w:rsidR="004F6F2E">
        <w:rPr>
          <w:rFonts w:ascii="Arial" w:eastAsia="Times New Roman" w:hAnsi="Arial" w:cs="Arial"/>
          <w:sz w:val="24"/>
          <w:szCs w:val="24"/>
        </w:rPr>
        <w:t xml:space="preserve">.  Endelig </w:t>
      </w:r>
      <w:r w:rsidR="00882132">
        <w:rPr>
          <w:rFonts w:ascii="Arial" w:eastAsia="Times New Roman" w:hAnsi="Arial" w:cs="Arial"/>
          <w:sz w:val="24"/>
          <w:szCs w:val="24"/>
        </w:rPr>
        <w:t xml:space="preserve">er </w:t>
      </w:r>
      <w:r w:rsidR="004F6F2E">
        <w:rPr>
          <w:rFonts w:ascii="Arial" w:eastAsia="Times New Roman" w:hAnsi="Arial" w:cs="Arial"/>
          <w:sz w:val="24"/>
          <w:szCs w:val="24"/>
        </w:rPr>
        <w:t>kolitt og GI-blødning hyppigere enn ved andre TKIer.</w:t>
      </w:r>
    </w:p>
    <w:p w14:paraId="709191F9" w14:textId="0AF40BBF"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 xml:space="preserve">Bosutinib: </w:t>
      </w:r>
      <w:r w:rsidRPr="006F15EF">
        <w:rPr>
          <w:rFonts w:ascii="Arial" w:eastAsia="Times New Roman" w:hAnsi="Arial" w:cs="Arial"/>
          <w:sz w:val="24"/>
          <w:szCs w:val="24"/>
        </w:rPr>
        <w:t xml:space="preserve">Bosutinib gir ofte gastrointestinale ubehag med kvalme og diaré, evt </w:t>
      </w:r>
      <w:r w:rsidRPr="006F15EF">
        <w:rPr>
          <w:rFonts w:ascii="Arial" w:eastAsia="Times New Roman" w:hAnsi="Arial" w:cs="Arial"/>
          <w:sz w:val="24"/>
          <w:szCs w:val="24"/>
        </w:rPr>
        <w:lastRenderedPageBreak/>
        <w:t xml:space="preserve">brekninger </w:t>
      </w:r>
      <w:r w:rsidRPr="006F15EF">
        <w:rPr>
          <w:rFonts w:ascii="Arial" w:eastAsia="Times New Roman" w:hAnsi="Arial" w:cs="Arial"/>
          <w:noProof/>
          <w:sz w:val="24"/>
          <w:szCs w:val="24"/>
        </w:rPr>
        <w:t>(18)</w:t>
      </w:r>
      <w:r w:rsidRPr="006F15EF">
        <w:rPr>
          <w:rFonts w:ascii="Arial" w:eastAsia="Times New Roman" w:hAnsi="Arial" w:cs="Arial"/>
          <w:sz w:val="24"/>
          <w:szCs w:val="24"/>
        </w:rPr>
        <w:t xml:space="preserve">. Disse er ofte overgående og kortvarige, men kan være kraftige. Med forsiktig dosering og symptomatisk behandling kan de fleste pasienter fortsette. Leveraffeksjon er </w:t>
      </w:r>
      <w:r w:rsidR="007A434C">
        <w:rPr>
          <w:rFonts w:ascii="Arial" w:eastAsia="Times New Roman" w:hAnsi="Arial" w:cs="Arial"/>
          <w:sz w:val="24"/>
          <w:szCs w:val="24"/>
        </w:rPr>
        <w:t>vanlig</w:t>
      </w:r>
      <w:r w:rsidR="00882132">
        <w:rPr>
          <w:rFonts w:ascii="Arial" w:eastAsia="Times New Roman" w:hAnsi="Arial" w:cs="Arial"/>
          <w:sz w:val="24"/>
          <w:szCs w:val="24"/>
        </w:rPr>
        <w:t xml:space="preserve"> </w:t>
      </w:r>
      <w:r w:rsidRPr="006F15EF">
        <w:rPr>
          <w:rFonts w:ascii="Arial" w:eastAsia="Times New Roman" w:hAnsi="Arial" w:cs="Arial"/>
          <w:sz w:val="24"/>
          <w:szCs w:val="24"/>
        </w:rPr>
        <w:t>med bosutinib</w:t>
      </w:r>
      <w:r w:rsidR="00F02F9C">
        <w:rPr>
          <w:rFonts w:ascii="Arial" w:eastAsia="Times New Roman" w:hAnsi="Arial" w:cs="Arial"/>
          <w:sz w:val="24"/>
          <w:szCs w:val="24"/>
        </w:rPr>
        <w:t xml:space="preserve"> og må følges opp med blodprøver</w:t>
      </w:r>
      <w:r w:rsidRPr="006F15EF">
        <w:rPr>
          <w:rFonts w:ascii="Arial" w:eastAsia="Times New Roman" w:hAnsi="Arial" w:cs="Arial"/>
          <w:sz w:val="24"/>
          <w:szCs w:val="24"/>
        </w:rPr>
        <w:t>.</w:t>
      </w:r>
      <w:r w:rsidR="00443CCE">
        <w:rPr>
          <w:rFonts w:ascii="Arial" w:eastAsia="Times New Roman" w:hAnsi="Arial" w:cs="Arial"/>
          <w:sz w:val="24"/>
          <w:szCs w:val="24"/>
        </w:rPr>
        <w:t xml:space="preserve"> Dose 400mg daglig med mat.</w:t>
      </w:r>
      <w:r w:rsidR="007A434C">
        <w:rPr>
          <w:rFonts w:ascii="Arial" w:eastAsia="Times New Roman" w:hAnsi="Arial" w:cs="Arial"/>
          <w:sz w:val="24"/>
          <w:szCs w:val="24"/>
        </w:rPr>
        <w:t xml:space="preserve"> Mange velger nå å gjøre en</w:t>
      </w:r>
      <w:r w:rsidR="004F6F2E">
        <w:rPr>
          <w:rFonts w:ascii="Arial" w:eastAsia="Times New Roman" w:hAnsi="Arial" w:cs="Arial"/>
          <w:sz w:val="24"/>
          <w:szCs w:val="24"/>
        </w:rPr>
        <w:t xml:space="preserve"> gradvis</w:t>
      </w:r>
      <w:r w:rsidR="007A434C">
        <w:rPr>
          <w:rFonts w:ascii="Arial" w:eastAsia="Times New Roman" w:hAnsi="Arial" w:cs="Arial"/>
          <w:sz w:val="24"/>
          <w:szCs w:val="24"/>
        </w:rPr>
        <w:t xml:space="preserve"> opptrapping fra 200mg x1  til 400mg x1</w:t>
      </w:r>
      <w:r w:rsidR="004F6F2E">
        <w:rPr>
          <w:rFonts w:ascii="Arial" w:eastAsia="Times New Roman" w:hAnsi="Arial" w:cs="Arial"/>
          <w:sz w:val="24"/>
          <w:szCs w:val="24"/>
        </w:rPr>
        <w:t xml:space="preserve"> etter toleranse</w:t>
      </w:r>
      <w:r w:rsidR="00882132">
        <w:rPr>
          <w:rFonts w:ascii="Arial" w:eastAsia="Times New Roman" w:hAnsi="Arial" w:cs="Arial"/>
          <w:sz w:val="24"/>
          <w:szCs w:val="24"/>
        </w:rPr>
        <w:t xml:space="preserve"> </w:t>
      </w:r>
      <w:r w:rsidR="007A434C">
        <w:rPr>
          <w:rFonts w:ascii="Arial" w:eastAsia="Times New Roman" w:hAnsi="Arial" w:cs="Arial"/>
          <w:sz w:val="24"/>
          <w:szCs w:val="24"/>
        </w:rPr>
        <w:t>i løpet av noen uker. Mange pasienter har utmerket antileukemisk respons på 300 mg daglig. Gi høyeste tolerable dose</w:t>
      </w:r>
    </w:p>
    <w:p w14:paraId="1B99F592" w14:textId="68ED7287" w:rsidR="006F15EF" w:rsidRPr="006F15EF" w:rsidRDefault="006F15EF" w:rsidP="006F15EF">
      <w:pPr>
        <w:widowControl w:val="0"/>
        <w:spacing w:after="0" w:line="240" w:lineRule="auto"/>
        <w:ind w:left="567"/>
        <w:rPr>
          <w:rFonts w:ascii="Arial" w:eastAsia="Times New Roman" w:hAnsi="Arial" w:cs="Arial"/>
          <w:color w:val="FF0000"/>
          <w:sz w:val="24"/>
          <w:szCs w:val="24"/>
        </w:rPr>
      </w:pPr>
      <w:r w:rsidRPr="006F15EF">
        <w:rPr>
          <w:rFonts w:ascii="Arial" w:eastAsia="Times New Roman" w:hAnsi="Arial" w:cs="Arial"/>
          <w:b/>
          <w:bCs/>
          <w:sz w:val="24"/>
          <w:szCs w:val="24"/>
        </w:rPr>
        <w:t>Ponatinib</w:t>
      </w:r>
      <w:r w:rsidRPr="006F15EF">
        <w:rPr>
          <w:rFonts w:ascii="Arial" w:eastAsia="Times New Roman" w:hAnsi="Arial" w:cs="Arial"/>
          <w:sz w:val="24"/>
          <w:szCs w:val="24"/>
        </w:rPr>
        <w:t>: Ponatinib</w:t>
      </w:r>
      <w:r w:rsidR="00882132">
        <w:rPr>
          <w:rFonts w:ascii="Arial" w:eastAsia="Times New Roman" w:hAnsi="Arial" w:cs="Arial"/>
          <w:sz w:val="24"/>
          <w:szCs w:val="24"/>
        </w:rPr>
        <w:t xml:space="preserve"> </w:t>
      </w:r>
      <w:r w:rsidR="007A434C">
        <w:rPr>
          <w:rFonts w:ascii="Arial" w:eastAsia="Times New Roman" w:hAnsi="Arial" w:cs="Arial"/>
          <w:sz w:val="24"/>
          <w:szCs w:val="24"/>
        </w:rPr>
        <w:t>gir</w:t>
      </w:r>
      <w:r w:rsidRPr="006F15EF">
        <w:rPr>
          <w:rFonts w:ascii="Arial" w:eastAsia="Times New Roman" w:hAnsi="Arial" w:cs="Arial"/>
          <w:sz w:val="24"/>
          <w:szCs w:val="24"/>
        </w:rPr>
        <w:t xml:space="preserve"> i likhet med</w:t>
      </w:r>
      <w:r w:rsidR="009068EC" w:rsidRPr="009068EC">
        <w:rPr>
          <w:rFonts w:ascii="Arial" w:eastAsia="Times New Roman" w:hAnsi="Arial" w:cs="Arial"/>
          <w:sz w:val="24"/>
          <w:szCs w:val="24"/>
        </w:rPr>
        <w:t xml:space="preserve"> </w:t>
      </w:r>
      <w:r w:rsidR="009068EC" w:rsidRPr="006F15EF">
        <w:rPr>
          <w:rFonts w:ascii="Arial" w:eastAsia="Times New Roman" w:hAnsi="Arial" w:cs="Arial"/>
          <w:sz w:val="24"/>
          <w:szCs w:val="24"/>
        </w:rPr>
        <w:t>nilotinib</w:t>
      </w:r>
      <w:r w:rsidR="00882132">
        <w:rPr>
          <w:rFonts w:ascii="Arial" w:eastAsia="Times New Roman" w:hAnsi="Arial" w:cs="Arial"/>
          <w:sz w:val="24"/>
          <w:szCs w:val="24"/>
        </w:rPr>
        <w:t>, men</w:t>
      </w:r>
      <w:r w:rsidR="00882132" w:rsidRPr="00882132">
        <w:rPr>
          <w:rFonts w:ascii="Arial" w:eastAsia="Times New Roman" w:hAnsi="Arial" w:cs="Arial"/>
          <w:sz w:val="24"/>
          <w:szCs w:val="24"/>
        </w:rPr>
        <w:t xml:space="preserve"> </w:t>
      </w:r>
      <w:r w:rsidR="00882132">
        <w:rPr>
          <w:rFonts w:ascii="Arial" w:eastAsia="Times New Roman" w:hAnsi="Arial" w:cs="Arial"/>
          <w:sz w:val="24"/>
          <w:szCs w:val="24"/>
        </w:rPr>
        <w:t>mer uttalt</w:t>
      </w:r>
      <w:r w:rsidR="009068EC">
        <w:rPr>
          <w:rFonts w:ascii="Arial" w:eastAsia="Times New Roman" w:hAnsi="Arial" w:cs="Arial"/>
          <w:sz w:val="24"/>
          <w:szCs w:val="24"/>
        </w:rPr>
        <w:t xml:space="preserve">, </w:t>
      </w:r>
      <w:r w:rsidR="007A434C">
        <w:rPr>
          <w:rFonts w:ascii="Arial" w:eastAsia="Times New Roman" w:hAnsi="Arial" w:cs="Arial"/>
          <w:sz w:val="24"/>
          <w:szCs w:val="24"/>
        </w:rPr>
        <w:t xml:space="preserve"> </w:t>
      </w:r>
      <w:r w:rsidRPr="006F15EF">
        <w:rPr>
          <w:rFonts w:ascii="Arial" w:eastAsia="Times New Roman" w:hAnsi="Arial" w:cs="Arial"/>
          <w:sz w:val="24"/>
          <w:szCs w:val="24"/>
        </w:rPr>
        <w:t xml:space="preserve"> </w:t>
      </w:r>
      <w:r w:rsidR="007A434C">
        <w:rPr>
          <w:rFonts w:ascii="Arial" w:eastAsia="Times New Roman" w:hAnsi="Arial" w:cs="Arial"/>
          <w:sz w:val="24"/>
          <w:szCs w:val="24"/>
        </w:rPr>
        <w:t xml:space="preserve"> </w:t>
      </w:r>
      <w:r w:rsidRPr="006F15EF">
        <w:rPr>
          <w:rFonts w:ascii="Arial" w:eastAsia="Times New Roman" w:hAnsi="Arial" w:cs="Arial"/>
          <w:sz w:val="24"/>
          <w:szCs w:val="24"/>
        </w:rPr>
        <w:t>atherosklerotiske hendelser</w:t>
      </w:r>
      <w:r w:rsidR="00243973">
        <w:rPr>
          <w:rFonts w:ascii="Arial" w:eastAsia="Times New Roman" w:hAnsi="Arial" w:cs="Arial"/>
          <w:sz w:val="24"/>
          <w:szCs w:val="24"/>
        </w:rPr>
        <w:t xml:space="preserve"> </w:t>
      </w:r>
      <w:r w:rsidR="00882132">
        <w:rPr>
          <w:rFonts w:ascii="Arial" w:eastAsia="Times New Roman" w:hAnsi="Arial" w:cs="Arial"/>
          <w:sz w:val="24"/>
          <w:szCs w:val="24"/>
        </w:rPr>
        <w:t xml:space="preserve"> som angina, hjerteinfarkt, TIA, hjerneslag og perifere arterielle okklusjoner </w:t>
      </w:r>
      <w:r w:rsidR="00243973">
        <w:rPr>
          <w:rFonts w:ascii="Arial" w:eastAsia="Times New Roman" w:hAnsi="Arial" w:cs="Arial"/>
          <w:sz w:val="24"/>
          <w:szCs w:val="24"/>
        </w:rPr>
        <w:t xml:space="preserve">som kan gi </w:t>
      </w:r>
      <w:commentRangeStart w:id="39"/>
      <w:r w:rsidR="00243973">
        <w:rPr>
          <w:rFonts w:ascii="Arial" w:eastAsia="Times New Roman" w:hAnsi="Arial" w:cs="Arial"/>
          <w:sz w:val="24"/>
          <w:szCs w:val="24"/>
        </w:rPr>
        <w:t>sekvele</w:t>
      </w:r>
      <w:commentRangeEnd w:id="39"/>
      <w:r w:rsidR="00D246DB">
        <w:rPr>
          <w:rStyle w:val="CommentReference"/>
        </w:rPr>
        <w:commentReference w:id="39"/>
      </w:r>
      <w:r w:rsidR="007A434C">
        <w:rPr>
          <w:rFonts w:ascii="Arial" w:eastAsia="Times New Roman" w:hAnsi="Arial" w:cs="Arial"/>
          <w:sz w:val="24"/>
          <w:szCs w:val="24"/>
        </w:rPr>
        <w:t xml:space="preserve">. </w:t>
      </w:r>
      <w:r w:rsidR="00882132">
        <w:rPr>
          <w:rFonts w:ascii="Arial" w:eastAsia="Times New Roman" w:hAnsi="Arial" w:cs="Arial"/>
          <w:sz w:val="24"/>
          <w:szCs w:val="24"/>
        </w:rPr>
        <w:t>St</w:t>
      </w:r>
      <w:r w:rsidR="001B70AD">
        <w:rPr>
          <w:rFonts w:ascii="Arial" w:eastAsia="Times New Roman" w:hAnsi="Arial" w:cs="Arial"/>
          <w:sz w:val="24"/>
          <w:szCs w:val="24"/>
        </w:rPr>
        <w:t>igning av lever- og pancreas-enzymer</w:t>
      </w:r>
      <w:r w:rsidR="007A434C">
        <w:rPr>
          <w:rFonts w:ascii="Arial" w:eastAsia="Times New Roman" w:hAnsi="Arial" w:cs="Arial"/>
          <w:sz w:val="24"/>
          <w:szCs w:val="24"/>
        </w:rPr>
        <w:t xml:space="preserve"> er heller ikke uvanlig</w:t>
      </w:r>
      <w:r w:rsidR="001B70AD">
        <w:rPr>
          <w:rFonts w:ascii="Arial" w:eastAsia="Times New Roman" w:hAnsi="Arial" w:cs="Arial"/>
          <w:sz w:val="24"/>
          <w:szCs w:val="24"/>
        </w:rPr>
        <w:t>.</w:t>
      </w:r>
      <w:r w:rsidRPr="006F15EF">
        <w:rPr>
          <w:rFonts w:ascii="Arial" w:eastAsia="Times New Roman" w:hAnsi="Arial" w:cs="Arial"/>
          <w:noProof/>
          <w:sz w:val="24"/>
          <w:szCs w:val="24"/>
        </w:rPr>
        <w:t>(15)</w:t>
      </w:r>
      <w:r w:rsidRPr="006F15EF">
        <w:rPr>
          <w:rFonts w:ascii="Arial" w:eastAsia="Times New Roman" w:hAnsi="Arial" w:cs="Arial"/>
          <w:sz w:val="24"/>
          <w:szCs w:val="24"/>
        </w:rPr>
        <w:t>. Mange pasienter utvikler hypertoni</w:t>
      </w:r>
      <w:r w:rsidR="009068EC">
        <w:rPr>
          <w:rFonts w:ascii="Arial" w:eastAsia="Times New Roman" w:hAnsi="Arial" w:cs="Arial"/>
          <w:sz w:val="24"/>
          <w:szCs w:val="24"/>
        </w:rPr>
        <w:t xml:space="preserve"> (ofte behov for flere </w:t>
      </w:r>
      <w:r w:rsidR="00A621D1">
        <w:rPr>
          <w:rFonts w:ascii="Arial" w:eastAsia="Times New Roman" w:hAnsi="Arial" w:cs="Arial"/>
          <w:sz w:val="24"/>
          <w:szCs w:val="24"/>
        </w:rPr>
        <w:t>blodtrykks</w:t>
      </w:r>
      <w:r w:rsidR="009068EC">
        <w:rPr>
          <w:rFonts w:ascii="Arial" w:eastAsia="Times New Roman" w:hAnsi="Arial" w:cs="Arial"/>
          <w:sz w:val="24"/>
          <w:szCs w:val="24"/>
        </w:rPr>
        <w:t>midler)</w:t>
      </w:r>
      <w:r w:rsidR="001B70AD">
        <w:rPr>
          <w:rFonts w:ascii="Arial" w:eastAsia="Times New Roman" w:hAnsi="Arial" w:cs="Arial"/>
          <w:sz w:val="24"/>
          <w:szCs w:val="24"/>
        </w:rPr>
        <w:t>, diabetes</w:t>
      </w:r>
      <w:r w:rsidRPr="006F15EF">
        <w:rPr>
          <w:rFonts w:ascii="Arial" w:eastAsia="Times New Roman" w:hAnsi="Arial" w:cs="Arial"/>
          <w:sz w:val="24"/>
          <w:szCs w:val="24"/>
        </w:rPr>
        <w:t xml:space="preserve"> og hyperlipidemi. Dette bør </w:t>
      </w:r>
      <w:r w:rsidR="001B70AD">
        <w:rPr>
          <w:rFonts w:ascii="Arial" w:eastAsia="Times New Roman" w:hAnsi="Arial" w:cs="Arial"/>
          <w:sz w:val="24"/>
          <w:szCs w:val="24"/>
        </w:rPr>
        <w:t xml:space="preserve">helt klart </w:t>
      </w:r>
      <w:r w:rsidR="009068EC">
        <w:rPr>
          <w:rFonts w:ascii="Arial" w:eastAsia="Times New Roman" w:hAnsi="Arial" w:cs="Arial"/>
          <w:sz w:val="24"/>
          <w:szCs w:val="24"/>
        </w:rPr>
        <w:t xml:space="preserve">monitoreres og </w:t>
      </w:r>
      <w:r w:rsidRPr="006F15EF">
        <w:rPr>
          <w:rFonts w:ascii="Arial" w:eastAsia="Times New Roman" w:hAnsi="Arial" w:cs="Arial"/>
          <w:sz w:val="24"/>
          <w:szCs w:val="24"/>
        </w:rPr>
        <w:t>behandles</w:t>
      </w:r>
      <w:r w:rsidR="00F02F9C">
        <w:rPr>
          <w:rFonts w:ascii="Arial" w:eastAsia="Times New Roman" w:hAnsi="Arial" w:cs="Arial"/>
          <w:sz w:val="24"/>
          <w:szCs w:val="24"/>
        </w:rPr>
        <w:t xml:space="preserve"> proaktivt</w:t>
      </w:r>
      <w:r w:rsidRPr="006F15EF">
        <w:rPr>
          <w:rFonts w:ascii="Arial" w:eastAsia="Times New Roman" w:hAnsi="Arial" w:cs="Arial"/>
          <w:sz w:val="24"/>
          <w:szCs w:val="24"/>
        </w:rPr>
        <w:t xml:space="preserve"> (evidensgrad D).</w:t>
      </w:r>
      <w:r w:rsidR="001B70AD">
        <w:rPr>
          <w:rFonts w:ascii="Arial" w:eastAsia="Times New Roman" w:hAnsi="Arial" w:cs="Arial"/>
          <w:sz w:val="24"/>
          <w:szCs w:val="24"/>
        </w:rPr>
        <w:t xml:space="preserve"> </w:t>
      </w:r>
      <w:r w:rsidR="007A434C">
        <w:rPr>
          <w:rFonts w:ascii="Arial" w:eastAsia="Times New Roman" w:hAnsi="Arial" w:cs="Arial"/>
          <w:sz w:val="24"/>
          <w:szCs w:val="24"/>
        </w:rPr>
        <w:t xml:space="preserve">Nylig ble foreløpige data av OPTIC-studien forevist på EHA-møtet 2020. Her ble </w:t>
      </w:r>
      <w:commentRangeStart w:id="40"/>
      <w:r w:rsidR="007A434C">
        <w:rPr>
          <w:rFonts w:ascii="Arial" w:eastAsia="Times New Roman" w:hAnsi="Arial" w:cs="Arial"/>
          <w:sz w:val="24"/>
          <w:szCs w:val="24"/>
        </w:rPr>
        <w:t xml:space="preserve">pasientene satt på ulike start-doser. Konklusjonen er at man bør starte med 45 mg daglig og dersom god respons (MR&lt;1%) reduseres til 15 mg under fortsatt </w:t>
      </w:r>
      <w:commentRangeEnd w:id="40"/>
      <w:r w:rsidR="007A434C">
        <w:rPr>
          <w:rStyle w:val="CommentReference"/>
        </w:rPr>
        <w:commentReference w:id="40"/>
      </w:r>
      <w:r w:rsidR="007A434C">
        <w:rPr>
          <w:rFonts w:ascii="Arial" w:eastAsia="Times New Roman" w:hAnsi="Arial" w:cs="Arial"/>
          <w:sz w:val="24"/>
          <w:szCs w:val="24"/>
        </w:rPr>
        <w:t>nøye observasjon.</w:t>
      </w:r>
      <w:r w:rsidR="001B70AD">
        <w:rPr>
          <w:rFonts w:ascii="Arial" w:eastAsia="Times New Roman" w:hAnsi="Arial" w:cs="Arial"/>
          <w:sz w:val="24"/>
          <w:szCs w:val="24"/>
        </w:rPr>
        <w:t xml:space="preserve"> </w:t>
      </w:r>
      <w:r w:rsidR="00243973">
        <w:rPr>
          <w:rFonts w:ascii="Arial" w:eastAsia="Times New Roman" w:hAnsi="Arial" w:cs="Arial"/>
          <w:sz w:val="24"/>
          <w:szCs w:val="24"/>
        </w:rPr>
        <w:t>Ponatinib er det mest potente KML-medikamentet vi har og er</w:t>
      </w:r>
      <w:r w:rsidR="004C2A6D">
        <w:rPr>
          <w:rFonts w:ascii="Arial" w:eastAsia="Times New Roman" w:hAnsi="Arial" w:cs="Arial"/>
          <w:sz w:val="24"/>
          <w:szCs w:val="24"/>
        </w:rPr>
        <w:t xml:space="preserve"> det</w:t>
      </w:r>
      <w:r w:rsidR="00243973">
        <w:rPr>
          <w:rFonts w:ascii="Arial" w:eastAsia="Times New Roman" w:hAnsi="Arial" w:cs="Arial"/>
          <w:sz w:val="24"/>
          <w:szCs w:val="24"/>
        </w:rPr>
        <w:t xml:space="preserve"> eneste </w:t>
      </w:r>
      <w:r w:rsidR="004C2A6D">
        <w:rPr>
          <w:rFonts w:ascii="Arial" w:eastAsia="Times New Roman" w:hAnsi="Arial" w:cs="Arial"/>
          <w:sz w:val="24"/>
          <w:szCs w:val="24"/>
        </w:rPr>
        <w:t xml:space="preserve">virksomme og </w:t>
      </w:r>
      <w:r w:rsidR="00243973">
        <w:rPr>
          <w:rFonts w:ascii="Arial" w:eastAsia="Times New Roman" w:hAnsi="Arial" w:cs="Arial"/>
          <w:sz w:val="24"/>
          <w:szCs w:val="24"/>
        </w:rPr>
        <w:t>godkjente middel</w:t>
      </w:r>
      <w:r w:rsidR="004C2A6D">
        <w:rPr>
          <w:rFonts w:ascii="Arial" w:eastAsia="Times New Roman" w:hAnsi="Arial" w:cs="Arial"/>
          <w:sz w:val="24"/>
          <w:szCs w:val="24"/>
        </w:rPr>
        <w:t>et</w:t>
      </w:r>
      <w:r w:rsidR="00243973">
        <w:rPr>
          <w:rFonts w:ascii="Arial" w:eastAsia="Times New Roman" w:hAnsi="Arial" w:cs="Arial"/>
          <w:sz w:val="24"/>
          <w:szCs w:val="24"/>
        </w:rPr>
        <w:t xml:space="preserve"> ved mutasjon T315I. </w:t>
      </w:r>
    </w:p>
    <w:p w14:paraId="2AAE2DFC" w14:textId="08AE8804" w:rsidR="006F15EF" w:rsidRPr="006F15EF" w:rsidRDefault="006F15EF" w:rsidP="00A1775A">
      <w:pPr>
        <w:pStyle w:val="Heading3"/>
      </w:pPr>
      <w:r w:rsidRPr="006F15EF">
        <w:t xml:space="preserve">Valg av TKI </w:t>
      </w:r>
      <w:r w:rsidR="009068EC">
        <w:t>i annen linje</w:t>
      </w:r>
    </w:p>
    <w:p w14:paraId="226AD321" w14:textId="77777777" w:rsidR="00D538E1"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 xml:space="preserve">Det foreligger ikke direkte sammenlignende studier mellom 2TKIer ved imatinibresistens eller intoleranse. Basert på 2 års resultater fra fase II studier </w:t>
      </w:r>
      <w:r w:rsidRPr="006F15EF">
        <w:rPr>
          <w:rFonts w:ascii="Arial" w:eastAsia="Times New Roman" w:hAnsi="Arial" w:cs="Arial"/>
          <w:noProof/>
          <w:sz w:val="24"/>
          <w:szCs w:val="24"/>
        </w:rPr>
        <w:t>(11;15;18)</w:t>
      </w:r>
      <w:r w:rsidRPr="006F15EF">
        <w:rPr>
          <w:rFonts w:ascii="Arial" w:eastAsia="Times New Roman" w:hAnsi="Arial" w:cs="Arial"/>
          <w:sz w:val="24"/>
          <w:szCs w:val="24"/>
        </w:rPr>
        <w:t xml:space="preserve"> synes effekten av medikamentene nærmest ekvivalente og det er rimelig å regne med at man ved imatinibresistens eller intoleranse vil kunne reindusere en varig CCyR hos ca 40- 50 % av pasientene i denne situasjonen. </w:t>
      </w:r>
    </w:p>
    <w:p w14:paraId="621926F7" w14:textId="77777777" w:rsidR="00D538E1" w:rsidRDefault="00D538E1" w:rsidP="006F15EF">
      <w:pPr>
        <w:widowControl w:val="0"/>
        <w:spacing w:after="0" w:line="240" w:lineRule="auto"/>
        <w:ind w:left="567"/>
        <w:rPr>
          <w:rFonts w:ascii="Arial" w:eastAsia="Times New Roman" w:hAnsi="Arial" w:cs="Arial"/>
          <w:sz w:val="24"/>
          <w:szCs w:val="24"/>
        </w:rPr>
      </w:pPr>
    </w:p>
    <w:p w14:paraId="5636F06E" w14:textId="402E9399" w:rsidR="006F15EF" w:rsidRPr="00153DDF" w:rsidRDefault="00D538E1" w:rsidP="00153DDF">
      <w:pPr>
        <w:widowControl w:val="0"/>
        <w:spacing w:after="0" w:line="240" w:lineRule="auto"/>
        <w:ind w:left="567"/>
        <w:jc w:val="both"/>
        <w:rPr>
          <w:rFonts w:ascii="Arial" w:eastAsia="Times New Roman" w:hAnsi="Arial" w:cs="Arial"/>
          <w:sz w:val="24"/>
          <w:szCs w:val="24"/>
        </w:rPr>
      </w:pPr>
      <w:r>
        <w:rPr>
          <w:rFonts w:ascii="Arial" w:eastAsia="Times New Roman" w:hAnsi="Arial" w:cs="Arial"/>
          <w:sz w:val="24"/>
          <w:szCs w:val="24"/>
        </w:rPr>
        <w:t xml:space="preserve">Dersom pasienten har vært resistent mot 2TKI, er det lav sjanse (ca 20%) for akseptabel respons ved å bytte til annen 2TKI. Ved intoleranse er sjansen for repons adskillig bedre. </w:t>
      </w:r>
      <w:r w:rsidR="006F15EF" w:rsidRPr="00D538E1">
        <w:rPr>
          <w:rFonts w:ascii="Arial" w:eastAsia="Times New Roman" w:hAnsi="Arial" w:cs="Arial"/>
          <w:sz w:val="24"/>
          <w:szCs w:val="24"/>
        </w:rPr>
        <w:t xml:space="preserve">Valg basert på </w:t>
      </w:r>
      <w:r w:rsidRPr="00D538E1">
        <w:rPr>
          <w:rFonts w:ascii="Arial" w:eastAsia="Times New Roman" w:hAnsi="Arial" w:cs="Arial"/>
          <w:sz w:val="24"/>
          <w:szCs w:val="24"/>
        </w:rPr>
        <w:t xml:space="preserve">forekomst av resistensmutasjoner </w:t>
      </w:r>
      <w:r w:rsidR="006F15EF" w:rsidRPr="00D538E1">
        <w:rPr>
          <w:rFonts w:ascii="Arial" w:eastAsia="Times New Roman" w:hAnsi="Arial" w:cs="Arial"/>
          <w:sz w:val="24"/>
          <w:szCs w:val="24"/>
        </w:rPr>
        <w:t>bivirkningsprofil, komorbiditet og compliance</w:t>
      </w:r>
      <w:r w:rsidRPr="00D538E1">
        <w:rPr>
          <w:rFonts w:ascii="Arial" w:eastAsia="Times New Roman" w:hAnsi="Arial" w:cs="Arial"/>
          <w:sz w:val="24"/>
          <w:szCs w:val="24"/>
        </w:rPr>
        <w:t xml:space="preserve">. </w:t>
      </w:r>
      <w:r w:rsidR="006F15EF" w:rsidRPr="00153DDF">
        <w:rPr>
          <w:rFonts w:ascii="Arial" w:eastAsia="Times New Roman" w:hAnsi="Arial" w:cs="Arial"/>
          <w:sz w:val="24"/>
          <w:szCs w:val="24"/>
        </w:rPr>
        <w:t>Familiedonorsituasjonen bør kartlegges allerede ved behov for annenlinjebehandling</w:t>
      </w:r>
      <w:r w:rsidR="00443CCE" w:rsidRPr="00153DDF">
        <w:rPr>
          <w:rFonts w:ascii="Arial" w:eastAsia="Times New Roman" w:hAnsi="Arial" w:cs="Arial"/>
          <w:sz w:val="24"/>
          <w:szCs w:val="24"/>
        </w:rPr>
        <w:t xml:space="preserve"> hos pasienter med resistens mot </w:t>
      </w:r>
      <w:r w:rsidRPr="00153DDF">
        <w:rPr>
          <w:rFonts w:ascii="Arial" w:eastAsia="Times New Roman" w:hAnsi="Arial" w:cs="Arial"/>
          <w:sz w:val="24"/>
          <w:szCs w:val="24"/>
        </w:rPr>
        <w:t>2</w:t>
      </w:r>
      <w:r w:rsidR="00443CCE" w:rsidRPr="00153DDF">
        <w:rPr>
          <w:rFonts w:ascii="Arial" w:eastAsia="Times New Roman" w:hAnsi="Arial" w:cs="Arial"/>
          <w:sz w:val="24"/>
          <w:szCs w:val="24"/>
        </w:rPr>
        <w:t>TKI</w:t>
      </w:r>
      <w:r w:rsidR="006F15EF" w:rsidRPr="00153DDF">
        <w:rPr>
          <w:rFonts w:ascii="Arial" w:eastAsia="Times New Roman" w:hAnsi="Arial" w:cs="Arial"/>
          <w:sz w:val="24"/>
          <w:szCs w:val="24"/>
        </w:rPr>
        <w:t xml:space="preserve">. </w:t>
      </w:r>
    </w:p>
    <w:p w14:paraId="14B27E76" w14:textId="77777777" w:rsidR="006F15EF" w:rsidRPr="006F15EF" w:rsidRDefault="006F15EF" w:rsidP="00A1775A">
      <w:pPr>
        <w:pStyle w:val="Heading2"/>
      </w:pPr>
      <w:bookmarkStart w:id="41" w:name="_Toc365452295"/>
      <w:bookmarkStart w:id="42" w:name="_Toc438470538"/>
      <w:r w:rsidRPr="006F15EF">
        <w:t>Fertilitet og amming</w:t>
      </w:r>
      <w:bookmarkEnd w:id="41"/>
      <w:bookmarkEnd w:id="42"/>
    </w:p>
    <w:p w14:paraId="1EAA27D2" w14:textId="77777777" w:rsidR="006F15EF" w:rsidRPr="006F15EF" w:rsidRDefault="006F15EF" w:rsidP="006F15EF">
      <w:pPr>
        <w:numPr>
          <w:ilvl w:val="0"/>
          <w:numId w:val="14"/>
        </w:numPr>
        <w:spacing w:after="0" w:line="240" w:lineRule="auto"/>
        <w:ind w:left="1440"/>
        <w:rPr>
          <w:rFonts w:ascii="Arial" w:eastAsia="Times New Roman" w:hAnsi="Arial" w:cs="Arial"/>
          <w:b/>
          <w:bCs/>
          <w:sz w:val="24"/>
          <w:szCs w:val="24"/>
        </w:rPr>
      </w:pPr>
      <w:r w:rsidRPr="006F15EF">
        <w:rPr>
          <w:rFonts w:ascii="Arial" w:eastAsia="Times New Roman" w:hAnsi="Arial" w:cs="Arial"/>
          <w:b/>
          <w:bCs/>
          <w:sz w:val="24"/>
          <w:szCs w:val="24"/>
        </w:rPr>
        <w:t>TKIer er teratogene, embryotoksiske og gjenfinnes i brystmelk. Medikamentene er kontraindisert under graviditet og ved amming. (evidensgrad D)</w:t>
      </w:r>
    </w:p>
    <w:p w14:paraId="3373A7D2" w14:textId="77777777" w:rsidR="00D538E1" w:rsidRDefault="006F15EF" w:rsidP="006F15EF">
      <w:pPr>
        <w:numPr>
          <w:ilvl w:val="0"/>
          <w:numId w:val="14"/>
        </w:numPr>
        <w:spacing w:after="0" w:line="240" w:lineRule="auto"/>
        <w:ind w:left="1440"/>
        <w:rPr>
          <w:rFonts w:ascii="Arial" w:eastAsia="Times New Roman" w:hAnsi="Arial" w:cs="Arial"/>
          <w:b/>
          <w:bCs/>
          <w:sz w:val="24"/>
          <w:szCs w:val="24"/>
        </w:rPr>
      </w:pPr>
      <w:r w:rsidRPr="006F15EF">
        <w:rPr>
          <w:rFonts w:ascii="Arial" w:eastAsia="Times New Roman" w:hAnsi="Arial" w:cs="Arial"/>
          <w:b/>
          <w:bCs/>
          <w:sz w:val="24"/>
          <w:szCs w:val="24"/>
        </w:rPr>
        <w:t xml:space="preserve">Interferonbehandling er et alternativ ved graviditet. (evidensgrad D) </w:t>
      </w:r>
    </w:p>
    <w:p w14:paraId="3A6E3A87" w14:textId="77777777" w:rsidR="00D538E1" w:rsidRDefault="00D538E1" w:rsidP="006F15EF">
      <w:pPr>
        <w:widowControl w:val="0"/>
        <w:spacing w:after="0" w:line="240" w:lineRule="auto"/>
        <w:ind w:left="567"/>
        <w:rPr>
          <w:rFonts w:ascii="Arial" w:eastAsia="Times New Roman" w:hAnsi="Arial" w:cs="Arial"/>
          <w:sz w:val="24"/>
          <w:szCs w:val="24"/>
        </w:rPr>
      </w:pPr>
    </w:p>
    <w:p w14:paraId="56F24CBB" w14:textId="1B2223E0"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 xml:space="preserve">Enkelte pasienter har gjennomført graviditet etter å ha seponert </w:t>
      </w:r>
      <w:r w:rsidR="00492E7D">
        <w:rPr>
          <w:rFonts w:ascii="Arial" w:eastAsia="Times New Roman" w:hAnsi="Arial" w:cs="Arial"/>
          <w:sz w:val="24"/>
          <w:szCs w:val="24"/>
        </w:rPr>
        <w:t>TKI</w:t>
      </w:r>
      <w:r w:rsidRPr="006F15EF">
        <w:rPr>
          <w:rFonts w:ascii="Arial" w:eastAsia="Times New Roman" w:hAnsi="Arial" w:cs="Arial"/>
          <w:sz w:val="24"/>
          <w:szCs w:val="24"/>
        </w:rPr>
        <w:t>. Velinformerte pasienter med god respons på TKI (</w:t>
      </w:r>
      <w:r w:rsidR="004F6F2E">
        <w:rPr>
          <w:rFonts w:ascii="Arial" w:eastAsia="Times New Roman" w:hAnsi="Arial" w:cs="Arial"/>
          <w:sz w:val="24"/>
          <w:szCs w:val="24"/>
        </w:rPr>
        <w:t xml:space="preserve">helst </w:t>
      </w:r>
      <w:r w:rsidRPr="006F15EF">
        <w:rPr>
          <w:rFonts w:ascii="Arial" w:eastAsia="Times New Roman" w:hAnsi="Arial" w:cs="Arial"/>
          <w:sz w:val="24"/>
          <w:szCs w:val="24"/>
        </w:rPr>
        <w:t>minst MR</w:t>
      </w:r>
      <w:r w:rsidR="00492E7D">
        <w:rPr>
          <w:rFonts w:ascii="Arial" w:eastAsia="Times New Roman" w:hAnsi="Arial" w:cs="Arial"/>
          <w:sz w:val="24"/>
          <w:szCs w:val="24"/>
        </w:rPr>
        <w:t>4</w:t>
      </w:r>
      <w:r w:rsidRPr="006F15EF">
        <w:rPr>
          <w:rFonts w:ascii="Arial" w:eastAsia="Times New Roman" w:hAnsi="Arial" w:cs="Arial"/>
          <w:sz w:val="24"/>
          <w:szCs w:val="24"/>
        </w:rPr>
        <w:t xml:space="preserve"> i 2 år) kan være kandidater. Dette bør nøye diskuteres med erfarne kolleger. Det er ikke rapportert noen sikker overhyppighet av misdannelser der far er imatinibbehandlet (evidensgrad C) </w:t>
      </w:r>
      <w:commentRangeStart w:id="43"/>
      <w:commentRangeStart w:id="44"/>
      <w:r w:rsidRPr="006F15EF">
        <w:rPr>
          <w:rFonts w:ascii="Arial" w:eastAsia="Times New Roman" w:hAnsi="Arial" w:cs="Arial"/>
          <w:noProof/>
          <w:sz w:val="24"/>
          <w:szCs w:val="24"/>
        </w:rPr>
        <w:t>(20)</w:t>
      </w:r>
      <w:commentRangeEnd w:id="43"/>
      <w:r w:rsidR="005D12E3">
        <w:rPr>
          <w:rStyle w:val="CommentReference"/>
        </w:rPr>
        <w:commentReference w:id="43"/>
      </w:r>
      <w:commentRangeEnd w:id="44"/>
      <w:r w:rsidR="00811809">
        <w:rPr>
          <w:rStyle w:val="CommentReference"/>
        </w:rPr>
        <w:commentReference w:id="44"/>
      </w:r>
      <w:r w:rsidRPr="006F15EF">
        <w:rPr>
          <w:rFonts w:ascii="Arial" w:eastAsia="Times New Roman" w:hAnsi="Arial" w:cs="Arial"/>
          <w:sz w:val="24"/>
          <w:szCs w:val="24"/>
        </w:rPr>
        <w:t xml:space="preserve">. </w:t>
      </w:r>
      <w:r w:rsidR="004F6F2E">
        <w:rPr>
          <w:rFonts w:ascii="Arial" w:eastAsia="Times New Roman" w:hAnsi="Arial" w:cs="Arial"/>
          <w:sz w:val="24"/>
          <w:szCs w:val="24"/>
        </w:rPr>
        <w:t xml:space="preserve"> </w:t>
      </w:r>
      <w:r w:rsidR="001B341D">
        <w:rPr>
          <w:rFonts w:ascii="Arial" w:eastAsia="Times New Roman" w:hAnsi="Arial" w:cs="Arial"/>
          <w:sz w:val="24"/>
          <w:szCs w:val="24"/>
        </w:rPr>
        <w:t xml:space="preserve">Organogenesen foregår i 1. trimester og denne perioden antas å være mest kritisk for misdannelser. </w:t>
      </w:r>
      <w:r w:rsidR="004F6F2E">
        <w:rPr>
          <w:rFonts w:ascii="Arial" w:eastAsia="Times New Roman" w:hAnsi="Arial" w:cs="Arial"/>
          <w:sz w:val="24"/>
          <w:szCs w:val="24"/>
        </w:rPr>
        <w:t>TKI-behandling i 3. trimester kan diskuteres</w:t>
      </w:r>
      <w:r w:rsidR="00492E7D">
        <w:rPr>
          <w:rFonts w:ascii="Arial" w:eastAsia="Times New Roman" w:hAnsi="Arial" w:cs="Arial"/>
          <w:sz w:val="24"/>
          <w:szCs w:val="24"/>
        </w:rPr>
        <w:t xml:space="preserve"> dersom rask økning av leukemien</w:t>
      </w:r>
      <w:r w:rsidR="001B341D">
        <w:rPr>
          <w:rFonts w:ascii="Arial" w:eastAsia="Times New Roman" w:hAnsi="Arial" w:cs="Arial"/>
          <w:sz w:val="24"/>
          <w:szCs w:val="24"/>
        </w:rPr>
        <w:t>.  Se referansen for en fin gjennomgang av problemstillinger, også om KML-diagnosen stilles i graviditeten.</w:t>
      </w:r>
    </w:p>
    <w:p w14:paraId="287693E7" w14:textId="77777777" w:rsidR="006F15EF" w:rsidRPr="006F15EF" w:rsidRDefault="006F15EF" w:rsidP="006F15EF">
      <w:pPr>
        <w:spacing w:after="0" w:line="240" w:lineRule="auto"/>
        <w:ind w:left="420"/>
        <w:rPr>
          <w:rFonts w:ascii="Arial" w:eastAsia="Times New Roman" w:hAnsi="Arial" w:cs="Arial"/>
          <w:sz w:val="24"/>
          <w:szCs w:val="24"/>
        </w:rPr>
      </w:pPr>
    </w:p>
    <w:p w14:paraId="6814CE6C" w14:textId="77777777" w:rsidR="006F15EF" w:rsidRPr="006F15EF" w:rsidRDefault="006F15EF" w:rsidP="006F15EF">
      <w:pPr>
        <w:keepNext/>
        <w:widowControl w:val="0"/>
        <w:numPr>
          <w:ilvl w:val="1"/>
          <w:numId w:val="1"/>
        </w:numPr>
        <w:tabs>
          <w:tab w:val="left" w:pos="1620"/>
        </w:tabs>
        <w:spacing w:before="220" w:after="200" w:line="240" w:lineRule="auto"/>
        <w:ind w:left="1080"/>
        <w:outlineLvl w:val="1"/>
        <w:rPr>
          <w:rFonts w:ascii="Arial" w:eastAsia="Times New Roman" w:hAnsi="Arial" w:cs="Arial"/>
          <w:b/>
          <w:bCs/>
          <w:color w:val="000000"/>
          <w:sz w:val="24"/>
          <w:szCs w:val="24"/>
        </w:rPr>
      </w:pPr>
      <w:bookmarkStart w:id="45" w:name="_Toc365452296"/>
      <w:bookmarkStart w:id="46" w:name="_Toc438470539"/>
      <w:bookmarkStart w:id="47" w:name="_Hlk63194270"/>
      <w:r w:rsidRPr="006F15EF">
        <w:rPr>
          <w:rFonts w:ascii="Arial" w:eastAsia="Times New Roman" w:hAnsi="Arial" w:cs="Arial"/>
          <w:b/>
          <w:bCs/>
          <w:color w:val="000000"/>
          <w:sz w:val="24"/>
          <w:szCs w:val="24"/>
        </w:rPr>
        <w:t>Allogen stamcelletransplantasjon</w:t>
      </w:r>
      <w:bookmarkEnd w:id="45"/>
      <w:bookmarkEnd w:id="46"/>
    </w:p>
    <w:p w14:paraId="013FE658" w14:textId="77777777"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 xml:space="preserve">Allo-SCT er det eneste dokumenterte kurative behandlingsalternativ for KML, men er forbundet med prosedyrerelatert morbiditet og mortalitet samt en ikke ubetydelig risiko for sene tilbakefall. Det er så langt ikke sikre holdepunkter for at forutgående imatinibbehandling påvirker resultatene av allo-SCT (evidensgrad C). Forutsatt vedvarende kronisk fase etter svikt på imatinib og lav EBMT-score </w:t>
      </w:r>
      <w:r w:rsidRPr="006F15EF">
        <w:rPr>
          <w:rFonts w:ascii="Arial" w:eastAsia="Times New Roman" w:hAnsi="Arial" w:cs="Arial"/>
          <w:noProof/>
          <w:sz w:val="24"/>
          <w:szCs w:val="24"/>
        </w:rPr>
        <w:t>(21)</w:t>
      </w:r>
      <w:r w:rsidRPr="006F15EF">
        <w:rPr>
          <w:rFonts w:ascii="Arial" w:eastAsia="Times New Roman" w:hAnsi="Arial" w:cs="Arial"/>
          <w:sz w:val="24"/>
          <w:szCs w:val="24"/>
        </w:rPr>
        <w:t xml:space="preserve"> (se AML kapittel 4) er resultatene gode </w:t>
      </w:r>
      <w:r w:rsidRPr="006F15EF">
        <w:rPr>
          <w:rFonts w:ascii="Arial" w:eastAsia="Times New Roman" w:hAnsi="Arial" w:cs="Arial"/>
          <w:noProof/>
          <w:sz w:val="24"/>
          <w:szCs w:val="24"/>
        </w:rPr>
        <w:t>(22)</w:t>
      </w:r>
      <w:r w:rsidRPr="006F15EF">
        <w:rPr>
          <w:rFonts w:ascii="Arial" w:eastAsia="Times New Roman" w:hAnsi="Arial" w:cs="Arial"/>
          <w:sz w:val="24"/>
          <w:szCs w:val="24"/>
        </w:rPr>
        <w:t xml:space="preserve">.  De gode resultatene med imatinib har fortrengt allo-SCT som førstelinjebehandling ved KML i kronisk fase. </w:t>
      </w:r>
    </w:p>
    <w:p w14:paraId="0B748108" w14:textId="36BB8BF0" w:rsidR="006F15EF" w:rsidRPr="006F15EF" w:rsidRDefault="006F15EF" w:rsidP="006F15EF">
      <w:pPr>
        <w:numPr>
          <w:ilvl w:val="0"/>
          <w:numId w:val="9"/>
        </w:numPr>
        <w:spacing w:after="0" w:line="240" w:lineRule="auto"/>
        <w:ind w:left="1440"/>
        <w:rPr>
          <w:rFonts w:ascii="Arial" w:eastAsia="Times New Roman" w:hAnsi="Arial" w:cs="Arial"/>
          <w:b/>
          <w:bCs/>
          <w:sz w:val="24"/>
          <w:szCs w:val="24"/>
        </w:rPr>
      </w:pPr>
      <w:r w:rsidRPr="006F15EF">
        <w:rPr>
          <w:rFonts w:ascii="Arial" w:eastAsia="Times New Roman" w:hAnsi="Arial" w:cs="Arial"/>
          <w:b/>
          <w:bCs/>
          <w:sz w:val="24"/>
          <w:szCs w:val="24"/>
        </w:rPr>
        <w:t xml:space="preserve">Allo-SCT bør alltid overveies som </w:t>
      </w:r>
      <w:r w:rsidR="004C2A6D">
        <w:rPr>
          <w:rFonts w:ascii="Arial" w:eastAsia="Times New Roman" w:hAnsi="Arial" w:cs="Arial"/>
          <w:b/>
          <w:bCs/>
          <w:sz w:val="24"/>
          <w:szCs w:val="24"/>
        </w:rPr>
        <w:t>ved svikt på 2TKI.</w:t>
      </w:r>
      <w:r w:rsidRPr="006F15EF">
        <w:rPr>
          <w:rFonts w:ascii="Arial" w:eastAsia="Times New Roman" w:hAnsi="Arial" w:cs="Arial"/>
          <w:b/>
          <w:bCs/>
          <w:sz w:val="24"/>
          <w:szCs w:val="24"/>
        </w:rPr>
        <w:t xml:space="preserve"> (evidensgrad C).</w:t>
      </w:r>
    </w:p>
    <w:p w14:paraId="0F86D931" w14:textId="77777777" w:rsidR="006F15EF" w:rsidRPr="006F15EF" w:rsidRDefault="006F15EF" w:rsidP="006F15EF">
      <w:pPr>
        <w:spacing w:after="0" w:line="240" w:lineRule="auto"/>
        <w:ind w:left="360"/>
        <w:rPr>
          <w:rFonts w:ascii="Arial" w:eastAsia="Times New Roman" w:hAnsi="Arial" w:cs="Arial"/>
          <w:b/>
          <w:bCs/>
          <w:sz w:val="24"/>
          <w:szCs w:val="24"/>
        </w:rPr>
      </w:pPr>
      <w:r w:rsidRPr="006F15EF">
        <w:rPr>
          <w:rFonts w:ascii="Arial" w:eastAsia="Times New Roman" w:hAnsi="Arial" w:cs="Arial"/>
          <w:b/>
          <w:bCs/>
          <w:sz w:val="24"/>
          <w:szCs w:val="24"/>
        </w:rPr>
        <w:t xml:space="preserve"> </w:t>
      </w:r>
    </w:p>
    <w:p w14:paraId="4346DE24" w14:textId="77777777" w:rsidR="006F15EF" w:rsidRPr="006F15EF" w:rsidRDefault="006F15EF" w:rsidP="006F15EF">
      <w:pPr>
        <w:keepNext/>
        <w:widowControl w:val="0"/>
        <w:numPr>
          <w:ilvl w:val="1"/>
          <w:numId w:val="1"/>
        </w:numPr>
        <w:tabs>
          <w:tab w:val="left" w:pos="1620"/>
        </w:tabs>
        <w:spacing w:before="220" w:after="200" w:line="240" w:lineRule="auto"/>
        <w:ind w:left="1080"/>
        <w:outlineLvl w:val="1"/>
        <w:rPr>
          <w:rFonts w:ascii="Arial" w:eastAsia="Times New Roman" w:hAnsi="Arial" w:cs="Arial"/>
          <w:b/>
          <w:bCs/>
          <w:color w:val="000000"/>
          <w:sz w:val="24"/>
          <w:szCs w:val="24"/>
        </w:rPr>
      </w:pPr>
      <w:bookmarkStart w:id="48" w:name="_Toc365452297"/>
      <w:bookmarkStart w:id="49" w:name="_Toc438470540"/>
      <w:bookmarkEnd w:id="47"/>
      <w:r w:rsidRPr="006F15EF">
        <w:rPr>
          <w:rFonts w:ascii="Arial" w:eastAsia="Times New Roman" w:hAnsi="Arial" w:cs="Arial"/>
          <w:b/>
          <w:bCs/>
          <w:color w:val="000000"/>
          <w:sz w:val="24"/>
          <w:szCs w:val="24"/>
        </w:rPr>
        <w:t>Behandling av akselerert fase</w:t>
      </w:r>
      <w:bookmarkEnd w:id="48"/>
      <w:bookmarkEnd w:id="49"/>
    </w:p>
    <w:p w14:paraId="10C4E927" w14:textId="549A495A" w:rsidR="006F15EF" w:rsidRDefault="006F15EF" w:rsidP="006F15EF">
      <w:pPr>
        <w:numPr>
          <w:ilvl w:val="0"/>
          <w:numId w:val="9"/>
        </w:numPr>
        <w:spacing w:after="0" w:line="240" w:lineRule="auto"/>
        <w:ind w:left="1440"/>
        <w:rPr>
          <w:rFonts w:ascii="Arial" w:eastAsia="Times New Roman" w:hAnsi="Arial" w:cs="Arial"/>
          <w:b/>
          <w:bCs/>
          <w:sz w:val="24"/>
          <w:szCs w:val="24"/>
        </w:rPr>
      </w:pPr>
      <w:r w:rsidRPr="006F15EF">
        <w:rPr>
          <w:rFonts w:ascii="Arial" w:eastAsia="Times New Roman" w:hAnsi="Arial" w:cs="Arial"/>
          <w:b/>
          <w:bCs/>
          <w:sz w:val="24"/>
          <w:szCs w:val="24"/>
        </w:rPr>
        <w:t>Ved diagnose/ debut i akselerert fase gis 2TKI (evidensgrad C)</w:t>
      </w:r>
    </w:p>
    <w:p w14:paraId="4A68A860" w14:textId="7C647610" w:rsidR="004F6F2E" w:rsidRPr="006F15EF" w:rsidRDefault="00811809" w:rsidP="006F15EF">
      <w:pPr>
        <w:numPr>
          <w:ilvl w:val="0"/>
          <w:numId w:val="9"/>
        </w:numPr>
        <w:spacing w:after="0" w:line="240" w:lineRule="auto"/>
        <w:ind w:left="1440"/>
        <w:rPr>
          <w:rFonts w:ascii="Arial" w:eastAsia="Times New Roman" w:hAnsi="Arial" w:cs="Arial"/>
          <w:b/>
          <w:bCs/>
          <w:sz w:val="24"/>
          <w:szCs w:val="24"/>
        </w:rPr>
      </w:pPr>
      <w:r>
        <w:rPr>
          <w:rFonts w:ascii="Arial" w:eastAsia="Times New Roman" w:hAnsi="Arial" w:cs="Arial"/>
          <w:b/>
          <w:bCs/>
          <w:sz w:val="24"/>
          <w:szCs w:val="24"/>
        </w:rPr>
        <w:t>Rekvirer</w:t>
      </w:r>
      <w:r w:rsidR="004F6F2E">
        <w:rPr>
          <w:rFonts w:ascii="Arial" w:eastAsia="Times New Roman" w:hAnsi="Arial" w:cs="Arial"/>
          <w:b/>
          <w:bCs/>
          <w:sz w:val="24"/>
          <w:szCs w:val="24"/>
        </w:rPr>
        <w:t xml:space="preserve"> </w:t>
      </w:r>
      <w:r w:rsidR="00651CA4">
        <w:rPr>
          <w:rFonts w:ascii="Arial" w:eastAsia="Times New Roman" w:hAnsi="Arial" w:cs="Arial"/>
          <w:b/>
          <w:bCs/>
          <w:sz w:val="24"/>
          <w:szCs w:val="24"/>
        </w:rPr>
        <w:t>ABL-</w:t>
      </w:r>
      <w:r w:rsidR="004F6F2E">
        <w:rPr>
          <w:rFonts w:ascii="Arial" w:eastAsia="Times New Roman" w:hAnsi="Arial" w:cs="Arial"/>
          <w:b/>
          <w:bCs/>
          <w:sz w:val="24"/>
          <w:szCs w:val="24"/>
        </w:rPr>
        <w:t>mutasjonsanalyse p</w:t>
      </w:r>
      <w:r w:rsidR="00952F63">
        <w:rPr>
          <w:rFonts w:ascii="Arial" w:eastAsia="Times New Roman" w:hAnsi="Arial" w:cs="Arial"/>
          <w:b/>
          <w:bCs/>
          <w:sz w:val="24"/>
          <w:szCs w:val="24"/>
        </w:rPr>
        <w:t>r</w:t>
      </w:r>
      <w:r w:rsidR="004F6F2E">
        <w:rPr>
          <w:rFonts w:ascii="Arial" w:eastAsia="Times New Roman" w:hAnsi="Arial" w:cs="Arial"/>
          <w:b/>
          <w:bCs/>
          <w:sz w:val="24"/>
          <w:szCs w:val="24"/>
        </w:rPr>
        <w:t>imært</w:t>
      </w:r>
    </w:p>
    <w:p w14:paraId="6D3145B2" w14:textId="26BD7B0D" w:rsidR="006F15EF" w:rsidRPr="006F15EF" w:rsidRDefault="006F15EF" w:rsidP="006F15EF">
      <w:pPr>
        <w:numPr>
          <w:ilvl w:val="0"/>
          <w:numId w:val="9"/>
        </w:numPr>
        <w:spacing w:after="0" w:line="240" w:lineRule="auto"/>
        <w:ind w:left="1440"/>
        <w:rPr>
          <w:rFonts w:ascii="Arial" w:eastAsia="Times New Roman" w:hAnsi="Arial" w:cs="Arial"/>
          <w:b/>
          <w:bCs/>
          <w:sz w:val="24"/>
          <w:szCs w:val="24"/>
        </w:rPr>
      </w:pPr>
      <w:r w:rsidRPr="006F15EF">
        <w:rPr>
          <w:rFonts w:ascii="Arial" w:eastAsia="Times New Roman" w:hAnsi="Arial" w:cs="Arial"/>
          <w:b/>
          <w:bCs/>
          <w:sz w:val="24"/>
          <w:szCs w:val="24"/>
        </w:rPr>
        <w:t xml:space="preserve"> Pasienter </w:t>
      </w:r>
      <w:r w:rsidR="00651CA4" w:rsidRPr="00651CA4">
        <w:rPr>
          <w:rFonts w:ascii="Arial" w:eastAsia="Times New Roman" w:hAnsi="Arial" w:cs="Arial"/>
          <w:b/>
          <w:bCs/>
          <w:sz w:val="24"/>
          <w:szCs w:val="24"/>
        </w:rPr>
        <w:t xml:space="preserve">under 70-75 år </w:t>
      </w:r>
      <w:r w:rsidRPr="006F15EF">
        <w:rPr>
          <w:rFonts w:ascii="Arial" w:eastAsia="Times New Roman" w:hAnsi="Arial" w:cs="Arial"/>
          <w:b/>
          <w:bCs/>
          <w:sz w:val="24"/>
          <w:szCs w:val="24"/>
        </w:rPr>
        <w:t xml:space="preserve">med stamcelledonor </w:t>
      </w:r>
      <w:r w:rsidR="00443CCE">
        <w:rPr>
          <w:rFonts w:ascii="Arial" w:eastAsia="Times New Roman" w:hAnsi="Arial" w:cs="Arial"/>
          <w:b/>
          <w:bCs/>
          <w:sz w:val="24"/>
          <w:szCs w:val="24"/>
        </w:rPr>
        <w:t>kan være</w:t>
      </w:r>
      <w:r w:rsidRPr="006F15EF">
        <w:rPr>
          <w:rFonts w:ascii="Arial" w:eastAsia="Times New Roman" w:hAnsi="Arial" w:cs="Arial"/>
          <w:b/>
          <w:bCs/>
          <w:sz w:val="24"/>
          <w:szCs w:val="24"/>
        </w:rPr>
        <w:t xml:space="preserve"> aktuelle for allo-SCT helst etter induksjon av remisjon / kronisk fase (evidensgrad C)</w:t>
      </w:r>
    </w:p>
    <w:p w14:paraId="164BB747" w14:textId="792BD259" w:rsidR="006F15EF" w:rsidRPr="006F15EF" w:rsidRDefault="006F15EF" w:rsidP="006F15EF">
      <w:pPr>
        <w:numPr>
          <w:ilvl w:val="0"/>
          <w:numId w:val="9"/>
        </w:numPr>
        <w:spacing w:after="0" w:line="240" w:lineRule="auto"/>
        <w:ind w:left="1440"/>
        <w:rPr>
          <w:rFonts w:ascii="Arial" w:eastAsia="Times New Roman" w:hAnsi="Arial" w:cs="Arial"/>
          <w:sz w:val="24"/>
          <w:szCs w:val="24"/>
        </w:rPr>
      </w:pPr>
      <w:r w:rsidRPr="006F15EF">
        <w:rPr>
          <w:rFonts w:ascii="Arial" w:eastAsia="Times New Roman" w:hAnsi="Arial" w:cs="Arial"/>
          <w:b/>
          <w:bCs/>
          <w:sz w:val="24"/>
          <w:szCs w:val="24"/>
        </w:rPr>
        <w:t xml:space="preserve">Dersom pasienten iflg Tabell 1 responderer «optimalt» kan allo-SCT avventes under forutsetning av </w:t>
      </w:r>
      <w:r w:rsidR="00952F63">
        <w:rPr>
          <w:rFonts w:ascii="Arial" w:eastAsia="Times New Roman" w:hAnsi="Arial" w:cs="Arial"/>
          <w:b/>
          <w:bCs/>
          <w:sz w:val="24"/>
          <w:szCs w:val="24"/>
        </w:rPr>
        <w:t>god</w:t>
      </w:r>
      <w:r w:rsidR="00952F63" w:rsidRPr="006F15EF">
        <w:rPr>
          <w:rFonts w:ascii="Arial" w:eastAsia="Times New Roman" w:hAnsi="Arial" w:cs="Arial"/>
          <w:b/>
          <w:bCs/>
          <w:sz w:val="24"/>
          <w:szCs w:val="24"/>
        </w:rPr>
        <w:t xml:space="preserve"> </w:t>
      </w:r>
      <w:r w:rsidRPr="006F15EF">
        <w:rPr>
          <w:rFonts w:ascii="Arial" w:eastAsia="Times New Roman" w:hAnsi="Arial" w:cs="Arial"/>
          <w:b/>
          <w:bCs/>
          <w:sz w:val="24"/>
          <w:szCs w:val="24"/>
        </w:rPr>
        <w:t xml:space="preserve">monitorering (evidensgrad C). </w:t>
      </w:r>
    </w:p>
    <w:p w14:paraId="71C2CAC6" w14:textId="77777777" w:rsidR="006F15EF" w:rsidRPr="006F15EF" w:rsidRDefault="006F15EF" w:rsidP="006F15EF">
      <w:pPr>
        <w:keepNext/>
        <w:widowControl w:val="0"/>
        <w:numPr>
          <w:ilvl w:val="1"/>
          <w:numId w:val="1"/>
        </w:numPr>
        <w:tabs>
          <w:tab w:val="left" w:pos="1620"/>
        </w:tabs>
        <w:spacing w:before="220" w:after="200" w:line="240" w:lineRule="auto"/>
        <w:ind w:left="1080"/>
        <w:outlineLvl w:val="1"/>
        <w:rPr>
          <w:rFonts w:ascii="Arial" w:eastAsia="Times New Roman" w:hAnsi="Arial" w:cs="Arial"/>
          <w:b/>
          <w:bCs/>
          <w:color w:val="000000"/>
          <w:sz w:val="24"/>
          <w:szCs w:val="24"/>
        </w:rPr>
      </w:pPr>
      <w:bookmarkStart w:id="50" w:name="_Toc365452298"/>
      <w:bookmarkStart w:id="51" w:name="_Toc438470541"/>
      <w:r w:rsidRPr="006F15EF">
        <w:rPr>
          <w:rFonts w:ascii="Arial" w:eastAsia="Times New Roman" w:hAnsi="Arial" w:cs="Arial"/>
          <w:b/>
          <w:bCs/>
          <w:color w:val="000000"/>
          <w:sz w:val="24"/>
          <w:szCs w:val="24"/>
        </w:rPr>
        <w:t>Behandling av blastfase</w:t>
      </w:r>
      <w:bookmarkEnd w:id="50"/>
      <w:bookmarkEnd w:id="51"/>
      <w:r w:rsidRPr="006F15EF">
        <w:rPr>
          <w:rFonts w:ascii="Arial" w:eastAsia="Times New Roman" w:hAnsi="Arial" w:cs="Arial"/>
          <w:b/>
          <w:bCs/>
          <w:color w:val="000000"/>
          <w:sz w:val="24"/>
          <w:szCs w:val="24"/>
        </w:rPr>
        <w:t xml:space="preserve"> </w:t>
      </w:r>
    </w:p>
    <w:p w14:paraId="58E9FFAB" w14:textId="77777777" w:rsidR="006F15EF" w:rsidRPr="006F15EF" w:rsidRDefault="006F15EF" w:rsidP="006F15EF">
      <w:pPr>
        <w:numPr>
          <w:ilvl w:val="0"/>
          <w:numId w:val="15"/>
        </w:numPr>
        <w:spacing w:after="0" w:line="240" w:lineRule="auto"/>
        <w:ind w:left="1440"/>
        <w:rPr>
          <w:rFonts w:ascii="Arial" w:eastAsia="Times New Roman" w:hAnsi="Arial" w:cs="Arial"/>
          <w:b/>
          <w:bCs/>
          <w:sz w:val="24"/>
          <w:szCs w:val="24"/>
        </w:rPr>
      </w:pPr>
      <w:r w:rsidRPr="006F15EF">
        <w:rPr>
          <w:rFonts w:ascii="Arial" w:eastAsia="Times New Roman" w:hAnsi="Arial" w:cs="Arial"/>
          <w:b/>
          <w:bCs/>
          <w:sz w:val="24"/>
          <w:szCs w:val="24"/>
        </w:rPr>
        <w:t xml:space="preserve">Ved diagnose/debut i blastfase vil man oftest oppfatte tilstanden som akutt myelogen eller lymfatisk leukemi og behandle etter handlingsprogram for hhv. AML/ALL. Påvises BCR-ABL eller Ph+, bør man i tillegg samtidig gi høydose imatinib, dvs 600-800 mg daglig eller 2TKI (evidensgrad C). Dasatinib penetrerer blod-hjernebarrieren, noe som kan være et fortrinn i blastfase. Nilotinib er ikke formelt godkjent for behandling i blastfase, men har omtrent like god effekt som dasatinib. </w:t>
      </w:r>
      <w:r w:rsidR="00F02F9C">
        <w:rPr>
          <w:rFonts w:ascii="Arial" w:eastAsia="Times New Roman" w:hAnsi="Arial" w:cs="Arial"/>
          <w:b/>
          <w:bCs/>
          <w:sz w:val="24"/>
          <w:szCs w:val="24"/>
        </w:rPr>
        <w:t>Data på ponatinib i kombinasjon med hyper-CVAD  er lovende</w:t>
      </w:r>
    </w:p>
    <w:p w14:paraId="24023923" w14:textId="2E034DD8" w:rsidR="006F15EF" w:rsidRPr="006F15EF" w:rsidRDefault="006F15EF" w:rsidP="006F15EF">
      <w:pPr>
        <w:numPr>
          <w:ilvl w:val="0"/>
          <w:numId w:val="16"/>
        </w:numPr>
        <w:tabs>
          <w:tab w:val="clear" w:pos="780"/>
          <w:tab w:val="num" w:pos="1440"/>
        </w:tabs>
        <w:spacing w:after="0" w:line="240" w:lineRule="auto"/>
        <w:ind w:left="1440"/>
        <w:rPr>
          <w:rFonts w:ascii="Arial" w:eastAsia="Times New Roman" w:hAnsi="Arial" w:cs="Arial"/>
          <w:b/>
          <w:bCs/>
          <w:sz w:val="24"/>
          <w:szCs w:val="24"/>
        </w:rPr>
      </w:pPr>
      <w:r w:rsidRPr="006F15EF">
        <w:rPr>
          <w:rFonts w:ascii="Arial" w:eastAsia="Times New Roman" w:hAnsi="Arial" w:cs="Arial"/>
          <w:b/>
          <w:bCs/>
          <w:sz w:val="24"/>
          <w:szCs w:val="24"/>
        </w:rPr>
        <w:t xml:space="preserve">Ved utvikling av blastkrise under imatinib-behandling gis </w:t>
      </w:r>
      <w:r w:rsidR="00952F63">
        <w:rPr>
          <w:rFonts w:ascii="Arial" w:eastAsia="Times New Roman" w:hAnsi="Arial" w:cs="Arial"/>
          <w:b/>
          <w:bCs/>
          <w:sz w:val="24"/>
          <w:szCs w:val="24"/>
        </w:rPr>
        <w:t>Ponatinib</w:t>
      </w:r>
      <w:r w:rsidRPr="006F15EF">
        <w:rPr>
          <w:rFonts w:ascii="Arial" w:eastAsia="Times New Roman" w:hAnsi="Arial" w:cs="Arial"/>
          <w:b/>
          <w:bCs/>
          <w:sz w:val="24"/>
          <w:szCs w:val="24"/>
        </w:rPr>
        <w:t xml:space="preserve"> </w:t>
      </w:r>
      <w:r w:rsidR="00651CA4">
        <w:rPr>
          <w:rFonts w:ascii="Arial" w:eastAsia="Times New Roman" w:hAnsi="Arial" w:cs="Arial"/>
          <w:b/>
          <w:bCs/>
          <w:sz w:val="24"/>
          <w:szCs w:val="24"/>
        </w:rPr>
        <w:t xml:space="preserve">(TKI behandlingen kan justeres avhengig av ABL mutasjonsstatus og risiko for CNS affeksjon) </w:t>
      </w:r>
      <w:r w:rsidRPr="006F15EF">
        <w:rPr>
          <w:rFonts w:ascii="Arial" w:eastAsia="Times New Roman" w:hAnsi="Arial" w:cs="Arial"/>
          <w:b/>
          <w:bCs/>
          <w:sz w:val="24"/>
          <w:szCs w:val="24"/>
        </w:rPr>
        <w:t>evt kombinert med konvensjonell induksjonsbehandling for akutt leukemi basert på mutasjonsstatus og immunfenotype (evidensgrad C).</w:t>
      </w:r>
    </w:p>
    <w:p w14:paraId="0456AA6B" w14:textId="77777777" w:rsidR="006F15EF" w:rsidRPr="006F15EF" w:rsidRDefault="006F15EF" w:rsidP="006F15EF">
      <w:pPr>
        <w:spacing w:after="0" w:line="240" w:lineRule="auto"/>
        <w:rPr>
          <w:rFonts w:ascii="Arial" w:eastAsia="Times New Roman" w:hAnsi="Arial" w:cs="Arial"/>
          <w:b/>
          <w:bCs/>
          <w:sz w:val="24"/>
          <w:szCs w:val="24"/>
        </w:rPr>
      </w:pPr>
    </w:p>
    <w:p w14:paraId="0BD46EEA" w14:textId="16979273"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sz w:val="24"/>
          <w:szCs w:val="24"/>
        </w:rPr>
        <w:t>Det er viktig å skille mellom myeloid og lymfatisk blastfase, ved vanlig mikroskopi supplert med immunfenotyping. Myeloid blastfase er hyppigere enn lymfoid (ca 70 % vs 30 %). All annen behandling enn transplantasjon har kort tidshorisont, men ved lymfoid blastkrise kan man ved oppnådd remisjon kombinere</w:t>
      </w:r>
      <w:r w:rsidR="0026643F">
        <w:rPr>
          <w:rFonts w:ascii="Arial" w:eastAsia="Times New Roman" w:hAnsi="Arial" w:cs="Arial"/>
          <w:sz w:val="24"/>
          <w:szCs w:val="24"/>
        </w:rPr>
        <w:t xml:space="preserve"> TKI</w:t>
      </w:r>
      <w:r w:rsidRPr="006F15EF">
        <w:rPr>
          <w:rFonts w:ascii="Arial" w:eastAsia="Times New Roman" w:hAnsi="Arial" w:cs="Arial"/>
          <w:sz w:val="24"/>
          <w:szCs w:val="24"/>
        </w:rPr>
        <w:t xml:space="preserve"> </w:t>
      </w:r>
      <w:r w:rsidR="0026643F">
        <w:rPr>
          <w:rFonts w:ascii="Arial" w:eastAsia="Times New Roman" w:hAnsi="Arial" w:cs="Arial"/>
          <w:sz w:val="24"/>
          <w:szCs w:val="24"/>
        </w:rPr>
        <w:t xml:space="preserve">(lovende </w:t>
      </w:r>
      <w:commentRangeStart w:id="52"/>
      <w:r w:rsidR="0026643F">
        <w:rPr>
          <w:rFonts w:ascii="Arial" w:eastAsia="Times New Roman" w:hAnsi="Arial" w:cs="Arial"/>
          <w:sz w:val="24"/>
          <w:szCs w:val="24"/>
        </w:rPr>
        <w:t>data</w:t>
      </w:r>
      <w:commentRangeEnd w:id="52"/>
      <w:r w:rsidR="0026643F">
        <w:rPr>
          <w:rStyle w:val="CommentReference"/>
        </w:rPr>
        <w:commentReference w:id="52"/>
      </w:r>
      <w:r w:rsidR="0026643F">
        <w:rPr>
          <w:rFonts w:ascii="Arial" w:eastAsia="Times New Roman" w:hAnsi="Arial" w:cs="Arial"/>
          <w:sz w:val="24"/>
          <w:szCs w:val="24"/>
        </w:rPr>
        <w:t xml:space="preserve"> med ponatinib</w:t>
      </w:r>
      <w:r w:rsidR="00B3520D">
        <w:rPr>
          <w:rFonts w:ascii="Arial" w:eastAsia="Times New Roman" w:hAnsi="Arial" w:cs="Arial"/>
          <w:sz w:val="24"/>
          <w:szCs w:val="24"/>
        </w:rPr>
        <w:t>, blinatumumab</w:t>
      </w:r>
      <w:r w:rsidR="0026643F" w:rsidRPr="006F15EF">
        <w:rPr>
          <w:rFonts w:ascii="Arial" w:eastAsia="Times New Roman" w:hAnsi="Arial" w:cs="Arial"/>
          <w:sz w:val="24"/>
          <w:szCs w:val="24"/>
        </w:rPr>
        <w:t xml:space="preserve"> </w:t>
      </w:r>
      <w:r w:rsidRPr="006F15EF">
        <w:rPr>
          <w:rFonts w:ascii="Arial" w:eastAsia="Times New Roman" w:hAnsi="Arial" w:cs="Arial"/>
          <w:sz w:val="24"/>
          <w:szCs w:val="24"/>
        </w:rPr>
        <w:t xml:space="preserve">og hyper-CVAD, men også annen mild vedlikeholdsbehandling som steroider, vinkristin, metotrexat, merkaptopurin eller asparaginase (f.eks POMP eller OPAL som er beskrevet i ALL-programmet i </w:t>
      </w:r>
      <w:r w:rsidRPr="006F15EF">
        <w:rPr>
          <w:rFonts w:ascii="Arial" w:eastAsia="Times New Roman" w:hAnsi="Arial" w:cs="Arial"/>
          <w:sz w:val="24"/>
          <w:szCs w:val="24"/>
        </w:rPr>
        <w:lastRenderedPageBreak/>
        <w:t xml:space="preserve">palliativ/ transplantasjonsforberedende hensikt). Allo-SCT forutsetter at ny kronisk fase kan oppnås, donor finnes og at det ikke foreligger absolutte kontraindikasjoner. Transplantasjon i blastkrise inngår ikke i transplantasjonsprogrammet fordi resultatene er meget dårlige. Også med bruk av TKI er resultatene dårlige med svært høye tilbakefallsrater. </w:t>
      </w:r>
    </w:p>
    <w:p w14:paraId="6FAFC8A4"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2C45A2B6" w14:textId="77777777" w:rsidR="006F15EF" w:rsidRPr="006F15EF" w:rsidRDefault="006F15EF" w:rsidP="006F15EF">
      <w:pPr>
        <w:keepNext/>
        <w:widowControl w:val="0"/>
        <w:numPr>
          <w:ilvl w:val="1"/>
          <w:numId w:val="1"/>
        </w:numPr>
        <w:tabs>
          <w:tab w:val="left" w:pos="1620"/>
        </w:tabs>
        <w:spacing w:before="220" w:after="200" w:line="240" w:lineRule="auto"/>
        <w:ind w:left="1080"/>
        <w:outlineLvl w:val="1"/>
        <w:rPr>
          <w:rFonts w:ascii="Arial" w:eastAsia="Times New Roman" w:hAnsi="Arial" w:cs="Arial"/>
          <w:b/>
          <w:bCs/>
          <w:color w:val="000000"/>
          <w:sz w:val="24"/>
          <w:szCs w:val="24"/>
        </w:rPr>
      </w:pPr>
      <w:bookmarkStart w:id="53" w:name="_Toc365452299"/>
      <w:bookmarkStart w:id="54" w:name="_Toc438470542"/>
      <w:r w:rsidRPr="006F15EF">
        <w:rPr>
          <w:rFonts w:ascii="Arial" w:eastAsia="Times New Roman" w:hAnsi="Arial" w:cs="Arial"/>
          <w:b/>
          <w:bCs/>
          <w:color w:val="000000"/>
          <w:sz w:val="24"/>
          <w:szCs w:val="24"/>
        </w:rPr>
        <w:t>Andre behandlingsregimer</w:t>
      </w:r>
      <w:bookmarkEnd w:id="53"/>
      <w:bookmarkEnd w:id="54"/>
    </w:p>
    <w:p w14:paraId="067FF876" w14:textId="591222C8"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Hydroksyurea (HU)</w:t>
      </w:r>
      <w:r w:rsidRPr="006F15EF">
        <w:rPr>
          <w:rFonts w:ascii="Arial" w:eastAsia="Times New Roman" w:hAnsi="Arial" w:cs="Arial"/>
          <w:sz w:val="24"/>
          <w:szCs w:val="24"/>
        </w:rPr>
        <w:t xml:space="preserve"> erstattet busulfan som det viktigste cytostatikum ved kronisk myelogen leukemi, etter at det ble dokumentert lengre overlevelse ved behandling med HU. I tilfeller ved behov for rask reduksjon av antallet leukocytter ved nydiagnostisert KML, kan HU gis sammen med imatinib før senere overgang til imatinib. Øvrig indikasjon for HU vil være behandling hos gamle og svekkede personer samt som palliativ behandling ved svikt på eller intoleranse for TKI dersom pasienten ikke kan transplanteres. Behandlingsmålet er å bringe pasienten i stabil kronisk fase. Standard startdose er 30-40 mg/kg/døgn justert opp eller ned til nærmeste 500 mg (2-4 g/døgn). Når leukocyttene er &lt;20 x10</w:t>
      </w:r>
      <w:r w:rsidRPr="006F15EF">
        <w:rPr>
          <w:rFonts w:ascii="Arial" w:eastAsia="Times New Roman" w:hAnsi="Arial" w:cs="Arial"/>
          <w:sz w:val="24"/>
          <w:szCs w:val="24"/>
          <w:vertAlign w:val="superscript"/>
        </w:rPr>
        <w:t>9</w:t>
      </w:r>
      <w:r w:rsidRPr="006F15EF">
        <w:rPr>
          <w:rFonts w:ascii="Arial" w:eastAsia="Times New Roman" w:hAnsi="Arial" w:cs="Arial"/>
          <w:sz w:val="24"/>
          <w:szCs w:val="24"/>
        </w:rPr>
        <w:t>/l, reduseres HU-dosen til forslagsvis 15-20 mg /kg /dag. Videre dosering er individuell. HU har smal terapeutisk bredde, slik at doseforandringer i klinisk rolig situasjon bør skje i relativt små trinn (for eksempel 10</w:t>
      </w:r>
      <w:r w:rsidR="00492E7D">
        <w:rPr>
          <w:rFonts w:ascii="Arial" w:eastAsia="Times New Roman" w:hAnsi="Arial" w:cs="Arial"/>
          <w:sz w:val="24"/>
          <w:szCs w:val="24"/>
        </w:rPr>
        <w:t>-15</w:t>
      </w:r>
      <w:r w:rsidRPr="006F15EF">
        <w:rPr>
          <w:rFonts w:ascii="Arial" w:eastAsia="Times New Roman" w:hAnsi="Arial" w:cs="Arial"/>
          <w:sz w:val="24"/>
          <w:szCs w:val="24"/>
        </w:rPr>
        <w:t xml:space="preserve"> % av totaldosen) Gjennomsnittlig vedlikeholdsdose ligger ofte på 1,0-1,5 g daglig der leukocyttall skal holdes mellom 2-5 x 10</w:t>
      </w:r>
      <w:r w:rsidRPr="006F15EF">
        <w:rPr>
          <w:rFonts w:ascii="Arial" w:eastAsia="Times New Roman" w:hAnsi="Arial" w:cs="Arial"/>
          <w:sz w:val="24"/>
          <w:szCs w:val="24"/>
          <w:vertAlign w:val="superscript"/>
        </w:rPr>
        <w:t>9</w:t>
      </w:r>
      <w:r w:rsidRPr="006F15EF">
        <w:rPr>
          <w:rFonts w:ascii="Arial" w:eastAsia="Times New Roman" w:hAnsi="Arial" w:cs="Arial"/>
          <w:sz w:val="24"/>
          <w:szCs w:val="24"/>
        </w:rPr>
        <w:t>/l. Laboratoriekontroll anbefales 1-2 ganger per uke</w:t>
      </w:r>
      <w:r w:rsidR="00B3520D">
        <w:rPr>
          <w:rFonts w:ascii="Arial" w:eastAsia="Times New Roman" w:hAnsi="Arial" w:cs="Arial"/>
          <w:sz w:val="24"/>
          <w:szCs w:val="24"/>
        </w:rPr>
        <w:t>ntlig</w:t>
      </w:r>
      <w:r w:rsidRPr="006F15EF">
        <w:rPr>
          <w:rFonts w:ascii="Arial" w:eastAsia="Times New Roman" w:hAnsi="Arial" w:cs="Arial"/>
          <w:sz w:val="24"/>
          <w:szCs w:val="24"/>
        </w:rPr>
        <w:t xml:space="preserve"> initialt, senere </w:t>
      </w:r>
      <w:r w:rsidR="00B3520D">
        <w:rPr>
          <w:rFonts w:ascii="Arial" w:eastAsia="Times New Roman" w:hAnsi="Arial" w:cs="Arial"/>
          <w:sz w:val="24"/>
          <w:szCs w:val="24"/>
        </w:rPr>
        <w:t>sjeldnere</w:t>
      </w:r>
      <w:r w:rsidRPr="006F15EF">
        <w:rPr>
          <w:rFonts w:ascii="Arial" w:eastAsia="Times New Roman" w:hAnsi="Arial" w:cs="Arial"/>
          <w:sz w:val="24"/>
          <w:szCs w:val="24"/>
        </w:rPr>
        <w:t>. Etter doseendring bør blodverdiene kontrolleres etter 1-2 uker. De fleste pasientene har lite bivirkninger av HU. Kvalme, brekninger og diaré er imidlertid vanlig ved doser over 2 g/dag. Allergiske utslett, aftøse munnsår og hudulcerasjoner</w:t>
      </w:r>
      <w:r w:rsidR="00B3520D">
        <w:rPr>
          <w:rFonts w:ascii="Arial" w:eastAsia="Times New Roman" w:hAnsi="Arial" w:cs="Arial"/>
          <w:sz w:val="24"/>
          <w:szCs w:val="24"/>
        </w:rPr>
        <w:t xml:space="preserve"> inkl leggsår</w:t>
      </w:r>
      <w:r w:rsidRPr="006F15EF">
        <w:rPr>
          <w:rFonts w:ascii="Arial" w:eastAsia="Times New Roman" w:hAnsi="Arial" w:cs="Arial"/>
          <w:sz w:val="24"/>
          <w:szCs w:val="24"/>
        </w:rPr>
        <w:t xml:space="preserve"> forekommer. Makrocytose og megaloblastisk marg er meget vanlig. </w:t>
      </w:r>
    </w:p>
    <w:p w14:paraId="766B8042"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1524696D" w14:textId="1CD71685"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Busulfan (Myleran)</w:t>
      </w:r>
      <w:r w:rsidRPr="006F15EF">
        <w:rPr>
          <w:rFonts w:ascii="Arial" w:eastAsia="Times New Roman" w:hAnsi="Arial" w:cs="Arial"/>
          <w:sz w:val="24"/>
          <w:szCs w:val="24"/>
        </w:rPr>
        <w:t xml:space="preserve"> er fortsatt aktuelt til noen få pasienter der annen terapi er uegnet. I akselerert fase, der pasienten ikke lenger har effekt av HU, kan busulfan forsøkes</w:t>
      </w:r>
      <w:r w:rsidR="0026643F">
        <w:rPr>
          <w:rFonts w:ascii="Arial" w:eastAsia="Times New Roman" w:hAnsi="Arial" w:cs="Arial"/>
          <w:sz w:val="24"/>
          <w:szCs w:val="24"/>
        </w:rPr>
        <w:t xml:space="preserve">. </w:t>
      </w:r>
      <w:r w:rsidRPr="006F15EF">
        <w:rPr>
          <w:rFonts w:ascii="Arial" w:eastAsia="Times New Roman" w:hAnsi="Arial" w:cs="Arial"/>
          <w:sz w:val="24"/>
          <w:szCs w:val="24"/>
        </w:rPr>
        <w:t xml:space="preserve"> Busulfan brukes også i kondisjonering for allo-SCT.</w:t>
      </w:r>
    </w:p>
    <w:p w14:paraId="30ED4168"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18F2FF36" w14:textId="2CEFA782" w:rsidR="006F15EF" w:rsidRPr="006F15EF" w:rsidRDefault="006F15EF" w:rsidP="006F15EF">
      <w:pPr>
        <w:widowControl w:val="0"/>
        <w:spacing w:after="0" w:line="240" w:lineRule="auto"/>
        <w:ind w:left="567"/>
        <w:rPr>
          <w:rFonts w:ascii="Arial" w:eastAsia="Times New Roman" w:hAnsi="Arial" w:cs="Arial"/>
          <w:sz w:val="24"/>
          <w:szCs w:val="24"/>
        </w:rPr>
      </w:pPr>
      <w:r w:rsidRPr="006F15EF">
        <w:rPr>
          <w:rFonts w:ascii="Arial" w:eastAsia="Times New Roman" w:hAnsi="Arial" w:cs="Arial"/>
          <w:b/>
          <w:bCs/>
          <w:sz w:val="24"/>
          <w:szCs w:val="24"/>
        </w:rPr>
        <w:t>Interferon:</w:t>
      </w:r>
      <w:r w:rsidRPr="006F15EF">
        <w:rPr>
          <w:rFonts w:ascii="Arial" w:eastAsia="Times New Roman" w:hAnsi="Arial" w:cs="Arial"/>
          <w:sz w:val="24"/>
          <w:szCs w:val="24"/>
        </w:rPr>
        <w:t xml:space="preserve"> IFN kan prøves ved svikt på TKI, men sjansen for god respons (f.eks CCgR) er meget lav. Nyere studier gir støtte for at pegylert interferon kan bli et godt tilleggsmedikament til imatinib hos pasienter med KML i kronisk fase </w:t>
      </w:r>
      <w:r w:rsidRPr="006F15EF">
        <w:rPr>
          <w:rFonts w:ascii="Arial" w:eastAsia="Times New Roman" w:hAnsi="Arial" w:cs="Arial"/>
          <w:noProof/>
          <w:sz w:val="24"/>
          <w:szCs w:val="24"/>
        </w:rPr>
        <w:t>men anses fortsatt som eksperimentelt</w:t>
      </w:r>
      <w:r w:rsidRPr="006F15EF">
        <w:rPr>
          <w:rFonts w:ascii="Arial" w:eastAsia="Times New Roman" w:hAnsi="Arial" w:cs="Arial"/>
          <w:sz w:val="24"/>
          <w:szCs w:val="24"/>
        </w:rPr>
        <w:t xml:space="preserve">. IFN er et aktuelt medikament om man må behandle KML i graviditet..  </w:t>
      </w:r>
    </w:p>
    <w:p w14:paraId="3D357895" w14:textId="55F0BD65" w:rsidR="006F15EF" w:rsidRDefault="006F15EF" w:rsidP="006F15EF">
      <w:pPr>
        <w:widowControl w:val="0"/>
        <w:spacing w:after="0" w:line="240" w:lineRule="auto"/>
        <w:ind w:left="567"/>
        <w:rPr>
          <w:rFonts w:ascii="Arial" w:eastAsia="Times New Roman" w:hAnsi="Arial" w:cs="Arial"/>
          <w:sz w:val="24"/>
          <w:szCs w:val="24"/>
        </w:rPr>
      </w:pPr>
    </w:p>
    <w:p w14:paraId="0F9EB558" w14:textId="1F1BC59D" w:rsidR="00B3520D" w:rsidRDefault="00B3520D" w:rsidP="006F15EF">
      <w:pPr>
        <w:widowControl w:val="0"/>
        <w:spacing w:after="0" w:line="240" w:lineRule="auto"/>
        <w:ind w:left="567"/>
        <w:rPr>
          <w:rFonts w:ascii="Arial" w:eastAsia="Times New Roman" w:hAnsi="Arial" w:cs="Arial"/>
          <w:sz w:val="24"/>
          <w:szCs w:val="24"/>
        </w:rPr>
      </w:pPr>
      <w:commentRangeStart w:id="55"/>
      <w:r w:rsidRPr="00492E7D">
        <w:rPr>
          <w:rFonts w:ascii="Arial" w:eastAsia="Times New Roman" w:hAnsi="Arial" w:cs="Arial"/>
          <w:b/>
          <w:bCs/>
          <w:sz w:val="24"/>
          <w:szCs w:val="24"/>
        </w:rPr>
        <w:t>Asciminib</w:t>
      </w:r>
      <w:r w:rsidR="007E4F8D">
        <w:rPr>
          <w:rFonts w:ascii="Arial" w:eastAsia="Times New Roman" w:hAnsi="Arial" w:cs="Arial"/>
          <w:sz w:val="24"/>
          <w:szCs w:val="24"/>
        </w:rPr>
        <w:t xml:space="preserve"> er en</w:t>
      </w:r>
      <w:r>
        <w:rPr>
          <w:rFonts w:ascii="Arial" w:eastAsia="Times New Roman" w:hAnsi="Arial" w:cs="Arial"/>
          <w:sz w:val="24"/>
          <w:szCs w:val="24"/>
        </w:rPr>
        <w:t xml:space="preserve"> </w:t>
      </w:r>
      <w:r w:rsidR="007E4F8D">
        <w:rPr>
          <w:rFonts w:ascii="Arial" w:eastAsia="Times New Roman" w:hAnsi="Arial" w:cs="Arial"/>
          <w:sz w:val="24"/>
          <w:szCs w:val="24"/>
        </w:rPr>
        <w:t>TKI med</w:t>
      </w:r>
      <w:r>
        <w:rPr>
          <w:rFonts w:ascii="Arial" w:eastAsia="Times New Roman" w:hAnsi="Arial" w:cs="Arial"/>
          <w:sz w:val="24"/>
          <w:szCs w:val="24"/>
        </w:rPr>
        <w:t xml:space="preserve"> en svært </w:t>
      </w:r>
      <w:commentRangeEnd w:id="55"/>
      <w:r w:rsidR="00D246DB">
        <w:rPr>
          <w:rStyle w:val="CommentReference"/>
        </w:rPr>
        <w:commentReference w:id="55"/>
      </w:r>
      <w:r>
        <w:rPr>
          <w:rFonts w:ascii="Arial" w:eastAsia="Times New Roman" w:hAnsi="Arial" w:cs="Arial"/>
          <w:sz w:val="24"/>
          <w:szCs w:val="24"/>
        </w:rPr>
        <w:t xml:space="preserve">interessant </w:t>
      </w:r>
      <w:r w:rsidR="007E4F8D">
        <w:rPr>
          <w:rFonts w:ascii="Arial" w:eastAsia="Times New Roman" w:hAnsi="Arial" w:cs="Arial"/>
          <w:sz w:val="24"/>
          <w:szCs w:val="24"/>
        </w:rPr>
        <w:t>virkningsmekanisme. Vi antar at middelet</w:t>
      </w:r>
      <w:r w:rsidR="00B70BFA">
        <w:rPr>
          <w:rFonts w:ascii="Arial" w:eastAsia="Times New Roman" w:hAnsi="Arial" w:cs="Arial"/>
          <w:sz w:val="24"/>
          <w:szCs w:val="24"/>
        </w:rPr>
        <w:t xml:space="preserve"> snart blir godkjent. </w:t>
      </w:r>
      <w:r w:rsidR="007E4F8D">
        <w:rPr>
          <w:rFonts w:ascii="Arial" w:eastAsia="Times New Roman" w:hAnsi="Arial" w:cs="Arial"/>
          <w:sz w:val="24"/>
          <w:szCs w:val="24"/>
        </w:rPr>
        <w:t>Asciminib</w:t>
      </w:r>
      <w:r>
        <w:rPr>
          <w:rFonts w:ascii="Arial" w:eastAsia="Times New Roman" w:hAnsi="Arial" w:cs="Arial"/>
          <w:sz w:val="24"/>
          <w:szCs w:val="24"/>
        </w:rPr>
        <w:t xml:space="preserve"> blokkerer </w:t>
      </w:r>
      <w:r w:rsidR="00492E7D">
        <w:rPr>
          <w:rFonts w:ascii="Arial" w:eastAsia="Times New Roman" w:hAnsi="Arial" w:cs="Arial"/>
          <w:sz w:val="24"/>
          <w:szCs w:val="24"/>
        </w:rPr>
        <w:t xml:space="preserve">ikke </w:t>
      </w:r>
      <w:r>
        <w:rPr>
          <w:rFonts w:ascii="Arial" w:eastAsia="Times New Roman" w:hAnsi="Arial" w:cs="Arial"/>
          <w:sz w:val="24"/>
          <w:szCs w:val="24"/>
        </w:rPr>
        <w:t>det ATP-bindende setet</w:t>
      </w:r>
      <w:r w:rsidR="00492E7D">
        <w:rPr>
          <w:rFonts w:ascii="Arial" w:eastAsia="Times New Roman" w:hAnsi="Arial" w:cs="Arial"/>
          <w:sz w:val="24"/>
          <w:szCs w:val="24"/>
        </w:rPr>
        <w:t xml:space="preserve"> som de andre TKIene</w:t>
      </w:r>
      <w:r>
        <w:rPr>
          <w:rFonts w:ascii="Arial" w:eastAsia="Times New Roman" w:hAnsi="Arial" w:cs="Arial"/>
          <w:sz w:val="24"/>
          <w:szCs w:val="24"/>
        </w:rPr>
        <w:t>, men binder den såkalte myristoyl lommen</w:t>
      </w:r>
      <w:r w:rsidR="00492E7D">
        <w:rPr>
          <w:rFonts w:ascii="Arial" w:eastAsia="Times New Roman" w:hAnsi="Arial" w:cs="Arial"/>
          <w:sz w:val="24"/>
          <w:szCs w:val="24"/>
        </w:rPr>
        <w:t>.</w:t>
      </w:r>
      <w:r w:rsidR="0050725A">
        <w:rPr>
          <w:rFonts w:ascii="Arial" w:eastAsia="Times New Roman" w:hAnsi="Arial" w:cs="Arial"/>
          <w:sz w:val="24"/>
          <w:szCs w:val="24"/>
        </w:rPr>
        <w:t xml:space="preserve"> </w:t>
      </w:r>
      <w:r w:rsidR="00492E7D">
        <w:rPr>
          <w:rFonts w:ascii="Arial" w:eastAsia="Times New Roman" w:hAnsi="Arial" w:cs="Arial"/>
          <w:sz w:val="24"/>
          <w:szCs w:val="24"/>
        </w:rPr>
        <w:t>N</w:t>
      </w:r>
      <w:r>
        <w:rPr>
          <w:rFonts w:ascii="Arial" w:eastAsia="Times New Roman" w:hAnsi="Arial" w:cs="Arial"/>
          <w:sz w:val="24"/>
          <w:szCs w:val="24"/>
        </w:rPr>
        <w:t xml:space="preserve">år asciminib binder settes BCR-ABL-molekylet i inaktiv konformasjon. </w:t>
      </w:r>
      <w:r w:rsidR="00B70BFA">
        <w:rPr>
          <w:rFonts w:ascii="Arial" w:eastAsia="Times New Roman" w:hAnsi="Arial" w:cs="Arial"/>
          <w:sz w:val="24"/>
          <w:szCs w:val="24"/>
        </w:rPr>
        <w:t xml:space="preserve">Asciminib virker ved de fleste kjente </w:t>
      </w:r>
      <w:r w:rsidR="00492E7D">
        <w:rPr>
          <w:rFonts w:ascii="Arial" w:eastAsia="Times New Roman" w:hAnsi="Arial" w:cs="Arial"/>
          <w:sz w:val="24"/>
          <w:szCs w:val="24"/>
        </w:rPr>
        <w:t>TKI-resistens</w:t>
      </w:r>
      <w:r w:rsidR="00B70BFA">
        <w:rPr>
          <w:rFonts w:ascii="Arial" w:eastAsia="Times New Roman" w:hAnsi="Arial" w:cs="Arial"/>
          <w:sz w:val="24"/>
          <w:szCs w:val="24"/>
        </w:rPr>
        <w:t xml:space="preserve">mutasjonene </w:t>
      </w:r>
      <w:r w:rsidR="0050725A">
        <w:rPr>
          <w:rFonts w:ascii="Arial" w:eastAsia="Times New Roman" w:hAnsi="Arial" w:cs="Arial"/>
          <w:sz w:val="24"/>
          <w:szCs w:val="24"/>
        </w:rPr>
        <w:t xml:space="preserve">inkludert T315I </w:t>
      </w:r>
      <w:r w:rsidR="00B70BFA">
        <w:rPr>
          <w:rFonts w:ascii="Arial" w:eastAsia="Times New Roman" w:hAnsi="Arial" w:cs="Arial"/>
          <w:sz w:val="24"/>
          <w:szCs w:val="24"/>
        </w:rPr>
        <w:t>og har god tolerabilitet. På sikt kan man tenke seg at asciminib vil bli brukt på lignende måte som ponatinib i dag. Det vil</w:t>
      </w:r>
      <w:r w:rsidR="007E4F8D">
        <w:rPr>
          <w:rFonts w:ascii="Arial" w:eastAsia="Times New Roman" w:hAnsi="Arial" w:cs="Arial"/>
          <w:sz w:val="24"/>
          <w:szCs w:val="24"/>
        </w:rPr>
        <w:t xml:space="preserve"> </w:t>
      </w:r>
      <w:r w:rsidR="00B70BFA">
        <w:rPr>
          <w:rFonts w:ascii="Arial" w:eastAsia="Times New Roman" w:hAnsi="Arial" w:cs="Arial"/>
          <w:sz w:val="24"/>
          <w:szCs w:val="24"/>
        </w:rPr>
        <w:t xml:space="preserve">også komme en studie </w:t>
      </w:r>
      <w:r w:rsidR="007E4F8D">
        <w:rPr>
          <w:rFonts w:ascii="Arial" w:eastAsia="Times New Roman" w:hAnsi="Arial" w:cs="Arial"/>
          <w:sz w:val="24"/>
          <w:szCs w:val="24"/>
        </w:rPr>
        <w:t>i første linje der Asciminib prøves mot legens valg av TKI</w:t>
      </w:r>
      <w:r w:rsidR="001A0E99">
        <w:rPr>
          <w:rFonts w:ascii="Arial" w:eastAsia="Times New Roman" w:hAnsi="Arial" w:cs="Arial"/>
          <w:sz w:val="24"/>
          <w:szCs w:val="24"/>
        </w:rPr>
        <w:t>. Middelet kan skaffes på compassionate use.</w:t>
      </w:r>
      <w:r>
        <w:rPr>
          <w:rFonts w:ascii="Arial" w:eastAsia="Times New Roman" w:hAnsi="Arial" w:cs="Arial"/>
          <w:sz w:val="24"/>
          <w:szCs w:val="24"/>
        </w:rPr>
        <w:t xml:space="preserve"> </w:t>
      </w:r>
    </w:p>
    <w:p w14:paraId="0540CE1F" w14:textId="79AA6022" w:rsidR="009C3250" w:rsidRDefault="009C3250" w:rsidP="00A1775A">
      <w:pPr>
        <w:pStyle w:val="Heading2"/>
      </w:pPr>
      <w:r>
        <w:lastRenderedPageBreak/>
        <w:t>Seponering-Behandlingsfri remisjon (TFR)</w:t>
      </w:r>
    </w:p>
    <w:p w14:paraId="2A85BB12" w14:textId="4A5513D4" w:rsidR="00EF2DDB" w:rsidRPr="00153DDF" w:rsidRDefault="009C3250" w:rsidP="00A1775A">
      <w:pPr>
        <w:rPr>
          <w:rFonts w:ascii="Arial" w:hAnsi="Arial" w:cs="Arial"/>
          <w:sz w:val="24"/>
          <w:szCs w:val="24"/>
        </w:rPr>
      </w:pPr>
      <w:r w:rsidRPr="00153DDF">
        <w:rPr>
          <w:rFonts w:ascii="Arial" w:hAnsi="Arial" w:cs="Arial"/>
          <w:sz w:val="24"/>
          <w:szCs w:val="24"/>
        </w:rPr>
        <w:t>Det er nå gjennomført ca 10 studier av sep</w:t>
      </w:r>
      <w:r w:rsidR="00A27863" w:rsidRPr="00153DDF">
        <w:rPr>
          <w:rFonts w:ascii="Arial" w:hAnsi="Arial" w:cs="Arial"/>
          <w:sz w:val="24"/>
          <w:szCs w:val="24"/>
        </w:rPr>
        <w:t>onering av TKI v</w:t>
      </w:r>
      <w:r w:rsidRPr="00153DDF">
        <w:rPr>
          <w:rFonts w:ascii="Arial" w:hAnsi="Arial" w:cs="Arial"/>
          <w:sz w:val="24"/>
          <w:szCs w:val="24"/>
        </w:rPr>
        <w:t>ed dyp respons</w:t>
      </w:r>
      <w:r w:rsidR="00A27863" w:rsidRPr="00153DDF">
        <w:rPr>
          <w:rFonts w:ascii="Arial" w:hAnsi="Arial" w:cs="Arial"/>
          <w:sz w:val="24"/>
          <w:szCs w:val="24"/>
        </w:rPr>
        <w:t>, og alle viser langtids TFR på ca 40-</w:t>
      </w:r>
      <w:commentRangeStart w:id="56"/>
      <w:r w:rsidR="00A27863" w:rsidRPr="00153DDF">
        <w:rPr>
          <w:rFonts w:ascii="Arial" w:hAnsi="Arial" w:cs="Arial"/>
          <w:sz w:val="24"/>
          <w:szCs w:val="24"/>
        </w:rPr>
        <w:t>50</w:t>
      </w:r>
      <w:commentRangeEnd w:id="56"/>
      <w:r w:rsidR="00D05473" w:rsidRPr="00153DDF">
        <w:rPr>
          <w:rStyle w:val="CommentReference"/>
          <w:rFonts w:ascii="Arial" w:hAnsi="Arial" w:cs="Arial"/>
          <w:sz w:val="24"/>
          <w:szCs w:val="24"/>
        </w:rPr>
        <w:commentReference w:id="56"/>
      </w:r>
      <w:r w:rsidR="00A27863" w:rsidRPr="00153DDF">
        <w:rPr>
          <w:rFonts w:ascii="Arial" w:hAnsi="Arial" w:cs="Arial"/>
          <w:sz w:val="24"/>
          <w:szCs w:val="24"/>
        </w:rPr>
        <w:t>%</w:t>
      </w:r>
      <w:r w:rsidRPr="00153DDF">
        <w:rPr>
          <w:rFonts w:ascii="Arial" w:hAnsi="Arial" w:cs="Arial"/>
          <w:sz w:val="24"/>
          <w:szCs w:val="24"/>
        </w:rPr>
        <w:t>. STIM-studien etablerte prinsippet, og i ettertid er ulike inklusjonskriterier</w:t>
      </w:r>
      <w:r w:rsidR="00A27863" w:rsidRPr="00153DDF">
        <w:rPr>
          <w:rFonts w:ascii="Arial" w:hAnsi="Arial" w:cs="Arial"/>
          <w:sz w:val="24"/>
          <w:szCs w:val="24"/>
        </w:rPr>
        <w:t xml:space="preserve"> brukt</w:t>
      </w:r>
      <w:r w:rsidRPr="00153DDF">
        <w:rPr>
          <w:rFonts w:ascii="Arial" w:hAnsi="Arial" w:cs="Arial"/>
          <w:sz w:val="24"/>
          <w:szCs w:val="24"/>
        </w:rPr>
        <w:t>. I den største studien EuroSKI, der 27 norske pasienter deltok, inkluderte man pasienter med MR4 med eller uten detekterbar MRD, mens i mange andre studier var det krav om udetekterbar sykdom og minst MR4.</w:t>
      </w:r>
      <w:commentRangeStart w:id="57"/>
      <w:r w:rsidRPr="00153DDF">
        <w:rPr>
          <w:rFonts w:ascii="Arial" w:hAnsi="Arial" w:cs="Arial"/>
          <w:sz w:val="24"/>
          <w:szCs w:val="24"/>
        </w:rPr>
        <w:t>5</w:t>
      </w:r>
      <w:commentRangeEnd w:id="57"/>
      <w:r w:rsidR="00D05473" w:rsidRPr="00153DDF">
        <w:rPr>
          <w:rStyle w:val="CommentReference"/>
          <w:rFonts w:ascii="Arial" w:hAnsi="Arial" w:cs="Arial"/>
          <w:sz w:val="24"/>
          <w:szCs w:val="24"/>
        </w:rPr>
        <w:commentReference w:id="57"/>
      </w:r>
      <w:r w:rsidRPr="00153DDF">
        <w:rPr>
          <w:rFonts w:ascii="Arial" w:hAnsi="Arial" w:cs="Arial"/>
          <w:sz w:val="24"/>
          <w:szCs w:val="24"/>
        </w:rPr>
        <w:t>. MR4</w:t>
      </w:r>
      <w:r w:rsidR="00A27863" w:rsidRPr="00153DDF">
        <w:rPr>
          <w:rFonts w:ascii="Arial" w:hAnsi="Arial" w:cs="Arial"/>
          <w:sz w:val="24"/>
          <w:szCs w:val="24"/>
        </w:rPr>
        <w:t>, med eller uten påvisbar MRD,</w:t>
      </w:r>
      <w:r w:rsidRPr="00153DDF">
        <w:rPr>
          <w:rFonts w:ascii="Arial" w:hAnsi="Arial" w:cs="Arial"/>
          <w:sz w:val="24"/>
          <w:szCs w:val="24"/>
        </w:rPr>
        <w:t xml:space="preserve"> ser ut til å være tilstrekkelig dypt.</w:t>
      </w:r>
      <w:r w:rsidR="00A27863" w:rsidRPr="00153DDF">
        <w:rPr>
          <w:rFonts w:ascii="Arial" w:hAnsi="Arial" w:cs="Arial"/>
          <w:sz w:val="24"/>
          <w:szCs w:val="24"/>
        </w:rPr>
        <w:t xml:space="preserve"> Fra</w:t>
      </w:r>
      <w:r w:rsidRPr="00153DDF">
        <w:rPr>
          <w:rFonts w:ascii="Arial" w:hAnsi="Arial" w:cs="Arial"/>
          <w:sz w:val="24"/>
          <w:szCs w:val="24"/>
        </w:rPr>
        <w:t xml:space="preserve"> </w:t>
      </w:r>
      <w:r w:rsidR="00996DA5" w:rsidRPr="00153DDF">
        <w:rPr>
          <w:rFonts w:ascii="Arial" w:hAnsi="Arial" w:cs="Arial"/>
          <w:sz w:val="24"/>
          <w:szCs w:val="24"/>
        </w:rPr>
        <w:t xml:space="preserve">EuroSKI og «According to STIM» (aSTIM) har man lært at relaps definert som tap av MR3/MMR er trygt og at pasientene gjenvinner sin respons. </w:t>
      </w:r>
      <w:commentRangeStart w:id="58"/>
      <w:r w:rsidR="00996DA5" w:rsidRPr="00153DDF">
        <w:rPr>
          <w:rFonts w:ascii="Arial" w:hAnsi="Arial" w:cs="Arial"/>
          <w:sz w:val="24"/>
          <w:szCs w:val="24"/>
        </w:rPr>
        <w:t>Man</w:t>
      </w:r>
      <w:commentRangeEnd w:id="58"/>
      <w:r w:rsidR="00D05473" w:rsidRPr="00153DDF">
        <w:rPr>
          <w:rStyle w:val="CommentReference"/>
          <w:rFonts w:ascii="Arial" w:hAnsi="Arial" w:cs="Arial"/>
          <w:sz w:val="24"/>
          <w:szCs w:val="24"/>
        </w:rPr>
        <w:commentReference w:id="58"/>
      </w:r>
      <w:r w:rsidR="00996DA5" w:rsidRPr="00153DDF">
        <w:rPr>
          <w:rFonts w:ascii="Arial" w:hAnsi="Arial" w:cs="Arial"/>
          <w:sz w:val="24"/>
          <w:szCs w:val="24"/>
        </w:rPr>
        <w:t xml:space="preserve"> skal huske at disse pasientene er de mest lettbehandlede KML-tilfellene. Man har også sett at noen pasienter har detekterbar restsykdom opp til MR3 over lang tid uten å få tilbakefall, s.k. fluctuators. Dette er i analogi med erfaringer etter SC</w:t>
      </w:r>
      <w:r w:rsidR="00A27863" w:rsidRPr="00153DDF">
        <w:rPr>
          <w:rFonts w:ascii="Arial" w:hAnsi="Arial" w:cs="Arial"/>
          <w:sz w:val="24"/>
          <w:szCs w:val="24"/>
        </w:rPr>
        <w:t>T</w:t>
      </w:r>
      <w:r w:rsidR="00996DA5" w:rsidRPr="00153DDF">
        <w:rPr>
          <w:rFonts w:ascii="Arial" w:hAnsi="Arial" w:cs="Arial"/>
          <w:sz w:val="24"/>
          <w:szCs w:val="24"/>
        </w:rPr>
        <w:t xml:space="preserve"> og IFN. Tap av MR3 er derfor anbefalt som tidspunkt for </w:t>
      </w:r>
      <w:commentRangeStart w:id="59"/>
      <w:r w:rsidR="00996DA5" w:rsidRPr="00153DDF">
        <w:rPr>
          <w:rFonts w:ascii="Arial" w:hAnsi="Arial" w:cs="Arial"/>
          <w:sz w:val="24"/>
          <w:szCs w:val="24"/>
        </w:rPr>
        <w:t>rebehandling</w:t>
      </w:r>
      <w:commentRangeEnd w:id="59"/>
      <w:r w:rsidR="00A27863" w:rsidRPr="00153DDF">
        <w:rPr>
          <w:rStyle w:val="CommentReference"/>
          <w:rFonts w:ascii="Arial" w:hAnsi="Arial" w:cs="Arial"/>
          <w:sz w:val="24"/>
          <w:szCs w:val="24"/>
        </w:rPr>
        <w:commentReference w:id="59"/>
      </w:r>
      <w:r w:rsidR="00996DA5" w:rsidRPr="00153DDF">
        <w:rPr>
          <w:rFonts w:ascii="Arial" w:hAnsi="Arial" w:cs="Arial"/>
          <w:sz w:val="24"/>
          <w:szCs w:val="24"/>
        </w:rPr>
        <w:t xml:space="preserve">. </w:t>
      </w:r>
      <w:r w:rsidRPr="00153DDF">
        <w:rPr>
          <w:rFonts w:ascii="Arial" w:hAnsi="Arial" w:cs="Arial"/>
          <w:sz w:val="24"/>
          <w:szCs w:val="24"/>
        </w:rPr>
        <w:t xml:space="preserve">Etter erfaringene av spesielt EuroSKI </w:t>
      </w:r>
      <w:r w:rsidR="00996DA5" w:rsidRPr="00153DDF">
        <w:rPr>
          <w:rFonts w:ascii="Arial" w:hAnsi="Arial" w:cs="Arial"/>
          <w:sz w:val="24"/>
          <w:szCs w:val="24"/>
        </w:rPr>
        <w:t xml:space="preserve">(imatinib-behandlede) </w:t>
      </w:r>
      <w:r w:rsidRPr="00153DDF">
        <w:rPr>
          <w:rFonts w:ascii="Arial" w:hAnsi="Arial" w:cs="Arial"/>
          <w:sz w:val="24"/>
          <w:szCs w:val="24"/>
        </w:rPr>
        <w:t xml:space="preserve">der man har lett etter optimale cut-off </w:t>
      </w:r>
      <w:r w:rsidR="00996DA5" w:rsidRPr="00153DDF">
        <w:rPr>
          <w:rFonts w:ascii="Arial" w:hAnsi="Arial" w:cs="Arial"/>
          <w:sz w:val="24"/>
          <w:szCs w:val="24"/>
        </w:rPr>
        <w:t xml:space="preserve">foreslår man at man gjennomfører seponeringsforsøk har behandlet med TKI i 5 år og </w:t>
      </w:r>
      <w:r w:rsidR="00A27863" w:rsidRPr="00153DDF">
        <w:rPr>
          <w:rFonts w:ascii="Arial" w:hAnsi="Arial" w:cs="Arial"/>
          <w:sz w:val="24"/>
          <w:szCs w:val="24"/>
        </w:rPr>
        <w:t xml:space="preserve">tentativt minst 2 år i MR4. Fra 3 års behandlingstid vinner man ca 3% flere relapsfrie pasienter </w:t>
      </w:r>
      <w:r w:rsidR="00EF2DDB" w:rsidRPr="00153DDF">
        <w:rPr>
          <w:rFonts w:ascii="Arial" w:hAnsi="Arial" w:cs="Arial"/>
          <w:sz w:val="24"/>
          <w:szCs w:val="24"/>
        </w:rPr>
        <w:t>p</w:t>
      </w:r>
      <w:r w:rsidR="00A27863" w:rsidRPr="00153DDF">
        <w:rPr>
          <w:rFonts w:ascii="Arial" w:hAnsi="Arial" w:cs="Arial"/>
          <w:sz w:val="24"/>
          <w:szCs w:val="24"/>
        </w:rPr>
        <w:t xml:space="preserve">er år man venter. </w:t>
      </w:r>
      <w:r w:rsidR="00EF2DDB" w:rsidRPr="00153DDF">
        <w:rPr>
          <w:rFonts w:ascii="Arial" w:hAnsi="Arial" w:cs="Arial"/>
          <w:sz w:val="24"/>
          <w:szCs w:val="24"/>
        </w:rPr>
        <w:t>Dette betyr at lege og pasient selv må velge hvor lenge man skal vente før seponeringsforsøk skal gjøres. Subjektive bivirkninger kan spille rolle for denne vurderingen. Vi anbefaler at pasienter som har vært resistente for TKI foreløpig ikke stoppes i klinisk praksis. Pasienter som var intolerante for første TKI og deretter fikk dyp repons på TKI nummer to kan stoppe som angitt ovenfor</w:t>
      </w:r>
      <w:r w:rsidR="0017798E" w:rsidRPr="00153DDF">
        <w:rPr>
          <w:rFonts w:ascii="Arial" w:hAnsi="Arial" w:cs="Arial"/>
          <w:sz w:val="24"/>
          <w:szCs w:val="24"/>
        </w:rPr>
        <w:t>.</w:t>
      </w:r>
    </w:p>
    <w:tbl>
      <w:tblPr>
        <w:tblStyle w:val="TableGrid"/>
        <w:tblW w:w="0" w:type="auto"/>
        <w:tblLook w:val="04A0" w:firstRow="1" w:lastRow="0" w:firstColumn="1" w:lastColumn="0" w:noHBand="0" w:noVBand="1"/>
      </w:tblPr>
      <w:tblGrid>
        <w:gridCol w:w="2830"/>
        <w:gridCol w:w="6566"/>
      </w:tblGrid>
      <w:tr w:rsidR="00172AE4" w14:paraId="2BF4CA03" w14:textId="009BB527" w:rsidTr="00B435C1">
        <w:tc>
          <w:tcPr>
            <w:tcW w:w="9396" w:type="dxa"/>
            <w:gridSpan w:val="2"/>
          </w:tcPr>
          <w:p w14:paraId="70814E4A" w14:textId="338D6C94" w:rsidR="00172AE4" w:rsidRPr="00C23A67" w:rsidRDefault="00C23A67" w:rsidP="00A1775A">
            <w:pPr>
              <w:jc w:val="center"/>
              <w:rPr>
                <w:b/>
                <w:sz w:val="28"/>
              </w:rPr>
            </w:pPr>
            <w:commentRangeStart w:id="60"/>
            <w:r>
              <w:rPr>
                <w:b/>
                <w:sz w:val="28"/>
              </w:rPr>
              <w:t xml:space="preserve">Tabell: </w:t>
            </w:r>
            <w:r w:rsidR="00172AE4" w:rsidRPr="00A1775A">
              <w:rPr>
                <w:b/>
                <w:sz w:val="28"/>
              </w:rPr>
              <w:t xml:space="preserve">Krav </w:t>
            </w:r>
            <w:r w:rsidR="00172AE4" w:rsidRPr="00C23A67">
              <w:rPr>
                <w:b/>
                <w:sz w:val="28"/>
              </w:rPr>
              <w:t>til</w:t>
            </w:r>
            <w:r w:rsidR="00172AE4" w:rsidRPr="00A1775A">
              <w:rPr>
                <w:b/>
                <w:sz w:val="28"/>
              </w:rPr>
              <w:t xml:space="preserve"> å gjøre seponeringsforsøk</w:t>
            </w:r>
            <w:commentRangeEnd w:id="60"/>
            <w:r w:rsidR="0050725A">
              <w:rPr>
                <w:rStyle w:val="CommentReference"/>
              </w:rPr>
              <w:commentReference w:id="60"/>
            </w:r>
          </w:p>
        </w:tc>
      </w:tr>
      <w:tr w:rsidR="00172AE4" w14:paraId="19919159" w14:textId="2BA564C5" w:rsidTr="00A1775A">
        <w:tc>
          <w:tcPr>
            <w:tcW w:w="2830" w:type="dxa"/>
          </w:tcPr>
          <w:p w14:paraId="222C53A4" w14:textId="0BE8DD0E" w:rsidR="00172AE4" w:rsidRPr="00A1775A" w:rsidRDefault="00172AE4" w:rsidP="00172AE4">
            <w:pPr>
              <w:rPr>
                <w:b/>
              </w:rPr>
            </w:pPr>
            <w:r w:rsidRPr="00A1775A">
              <w:rPr>
                <w:b/>
              </w:rPr>
              <w:t>Resistens mot noen TKI før?</w:t>
            </w:r>
          </w:p>
        </w:tc>
        <w:tc>
          <w:tcPr>
            <w:tcW w:w="6566" w:type="dxa"/>
          </w:tcPr>
          <w:p w14:paraId="0317B090" w14:textId="27B62A75" w:rsidR="00172AE4" w:rsidRDefault="00172AE4" w:rsidP="00A1775A">
            <w:pPr>
              <w:jc w:val="center"/>
            </w:pPr>
            <w:r>
              <w:t>Nei</w:t>
            </w:r>
          </w:p>
        </w:tc>
      </w:tr>
      <w:tr w:rsidR="00172AE4" w14:paraId="4E03146D" w14:textId="3EDD335E" w:rsidTr="00A1775A">
        <w:tc>
          <w:tcPr>
            <w:tcW w:w="2830" w:type="dxa"/>
          </w:tcPr>
          <w:p w14:paraId="62F0E160" w14:textId="69C5AA01" w:rsidR="00172AE4" w:rsidRPr="00A1775A" w:rsidRDefault="00172AE4" w:rsidP="00172AE4">
            <w:pPr>
              <w:rPr>
                <w:b/>
              </w:rPr>
            </w:pPr>
            <w:r w:rsidRPr="00A1775A">
              <w:rPr>
                <w:b/>
              </w:rPr>
              <w:t>Varighet av TKI-behandling</w:t>
            </w:r>
          </w:p>
        </w:tc>
        <w:tc>
          <w:tcPr>
            <w:tcW w:w="6566" w:type="dxa"/>
          </w:tcPr>
          <w:p w14:paraId="470879B0" w14:textId="3CE67C0A" w:rsidR="00172AE4" w:rsidRDefault="00172AE4" w:rsidP="00A1775A">
            <w:pPr>
              <w:jc w:val="center"/>
            </w:pPr>
            <w:r>
              <w:t>5år tentativt</w:t>
            </w:r>
            <w:r w:rsidR="00B3520D">
              <w:t xml:space="preserve"> for imatinib </w:t>
            </w:r>
            <w:r w:rsidR="0017798E">
              <w:t xml:space="preserve">og </w:t>
            </w:r>
            <w:r w:rsidR="00B3520D">
              <w:t>4 år for 2TKI</w:t>
            </w:r>
          </w:p>
        </w:tc>
      </w:tr>
      <w:tr w:rsidR="00172AE4" w14:paraId="36F0910C" w14:textId="2B312BEE" w:rsidTr="00A1775A">
        <w:tc>
          <w:tcPr>
            <w:tcW w:w="2830" w:type="dxa"/>
          </w:tcPr>
          <w:p w14:paraId="35CA8F84" w14:textId="1EB8D3C2" w:rsidR="00172AE4" w:rsidRPr="00A1775A" w:rsidRDefault="00172AE4" w:rsidP="00172AE4">
            <w:pPr>
              <w:rPr>
                <w:b/>
              </w:rPr>
            </w:pPr>
            <w:r w:rsidRPr="00A1775A">
              <w:rPr>
                <w:b/>
              </w:rPr>
              <w:t>Varighet MR4</w:t>
            </w:r>
          </w:p>
        </w:tc>
        <w:tc>
          <w:tcPr>
            <w:tcW w:w="6566" w:type="dxa"/>
          </w:tcPr>
          <w:p w14:paraId="186F1EE2" w14:textId="6D0B655D" w:rsidR="00172AE4" w:rsidRDefault="00172AE4" w:rsidP="00A1775A">
            <w:pPr>
              <w:jc w:val="center"/>
            </w:pPr>
            <w:r>
              <w:t>2år</w:t>
            </w:r>
          </w:p>
        </w:tc>
      </w:tr>
      <w:tr w:rsidR="00172AE4" w14:paraId="021164FC" w14:textId="7A007A46" w:rsidTr="00A1775A">
        <w:tc>
          <w:tcPr>
            <w:tcW w:w="2830" w:type="dxa"/>
          </w:tcPr>
          <w:p w14:paraId="5F88116D" w14:textId="5F17E3C5" w:rsidR="00172AE4" w:rsidRPr="00A1775A" w:rsidRDefault="00172AE4" w:rsidP="00172AE4">
            <w:pPr>
              <w:rPr>
                <w:b/>
              </w:rPr>
            </w:pPr>
            <w:r w:rsidRPr="00A1775A">
              <w:rPr>
                <w:b/>
              </w:rPr>
              <w:t>God monitorering</w:t>
            </w:r>
          </w:p>
        </w:tc>
        <w:tc>
          <w:tcPr>
            <w:tcW w:w="6566" w:type="dxa"/>
          </w:tcPr>
          <w:p w14:paraId="38114A5C" w14:textId="77777777" w:rsidR="001A0E99" w:rsidRDefault="001A0E99" w:rsidP="00A1775A">
            <w:pPr>
              <w:jc w:val="center"/>
            </w:pPr>
            <w:r>
              <w:t xml:space="preserve">PCR-lab må kunne gi svar innen 4 uker. </w:t>
            </w:r>
          </w:p>
          <w:p w14:paraId="7F5FB5C7" w14:textId="0894EEC1" w:rsidR="00172AE4" w:rsidRDefault="00172AE4" w:rsidP="00A1775A">
            <w:pPr>
              <w:jc w:val="center"/>
            </w:pPr>
            <w:r>
              <w:t xml:space="preserve">PCR </w:t>
            </w:r>
            <w:r w:rsidR="00B3520D">
              <w:t xml:space="preserve"> hver 6. uke i</w:t>
            </w:r>
            <w:r>
              <w:t xml:space="preserve"> i 6 mnd, så hver </w:t>
            </w:r>
            <w:r w:rsidR="00B3520D">
              <w:t>annen måned</w:t>
            </w:r>
            <w:r>
              <w:t xml:space="preserve"> til måned 12, så hver 3. mnd</w:t>
            </w:r>
            <w:r w:rsidR="001A0E99">
              <w:t xml:space="preserve"> i 3 år, deretter hver 4.-6. mnd. Relaps etter 3 års oppfølging skjer nesten kun hos pasienter som har detekterbart </w:t>
            </w:r>
            <w:commentRangeStart w:id="61"/>
            <w:r w:rsidR="001A0E99">
              <w:t>transkript</w:t>
            </w:r>
            <w:commentRangeEnd w:id="61"/>
            <w:r w:rsidR="001A0E99">
              <w:rPr>
                <w:rStyle w:val="CommentReference"/>
              </w:rPr>
              <w:commentReference w:id="61"/>
            </w:r>
            <w:r w:rsidR="001A0E99">
              <w:t xml:space="preserve"> og har </w:t>
            </w:r>
            <w:r w:rsidR="0017798E">
              <w:t>i slike tilfeller meget</w:t>
            </w:r>
            <w:r w:rsidR="001A0E99">
              <w:t xml:space="preserve"> langsom kinetikk</w:t>
            </w:r>
          </w:p>
        </w:tc>
      </w:tr>
    </w:tbl>
    <w:p w14:paraId="2FB700BA" w14:textId="77777777" w:rsidR="009C3250" w:rsidRPr="006F15EF" w:rsidRDefault="009C3250" w:rsidP="006F15EF">
      <w:pPr>
        <w:widowControl w:val="0"/>
        <w:spacing w:after="0" w:line="240" w:lineRule="auto"/>
        <w:ind w:left="567"/>
        <w:rPr>
          <w:rFonts w:ascii="Arial" w:eastAsia="Times New Roman" w:hAnsi="Arial" w:cs="Arial"/>
          <w:sz w:val="24"/>
          <w:szCs w:val="24"/>
        </w:rPr>
      </w:pPr>
    </w:p>
    <w:p w14:paraId="475FCE49" w14:textId="77777777" w:rsidR="006F15EF" w:rsidRPr="006F15EF" w:rsidRDefault="006F15EF" w:rsidP="006F15EF">
      <w:pPr>
        <w:widowControl w:val="0"/>
        <w:tabs>
          <w:tab w:val="right" w:pos="360"/>
          <w:tab w:val="left" w:pos="540"/>
        </w:tabs>
        <w:spacing w:after="0" w:line="240" w:lineRule="auto"/>
        <w:ind w:left="539" w:hanging="539"/>
        <w:rPr>
          <w:rFonts w:ascii="Arial" w:eastAsia="Times New Roman" w:hAnsi="Arial" w:cs="Arial"/>
          <w:b/>
          <w:bCs/>
          <w:sz w:val="24"/>
          <w:szCs w:val="24"/>
        </w:rPr>
      </w:pPr>
      <w:r w:rsidRPr="006F15EF">
        <w:rPr>
          <w:rFonts w:ascii="Arial" w:eastAsia="Times New Roman" w:hAnsi="Arial" w:cs="Arial"/>
          <w:b/>
          <w:bCs/>
          <w:sz w:val="24"/>
          <w:szCs w:val="24"/>
        </w:rPr>
        <w:t>Praktiske opplysninger</w:t>
      </w:r>
    </w:p>
    <w:p w14:paraId="41799E69" w14:textId="77777777" w:rsidR="006F15EF" w:rsidRPr="006F15EF" w:rsidRDefault="006F15EF" w:rsidP="006F15EF">
      <w:pPr>
        <w:widowControl w:val="0"/>
        <w:tabs>
          <w:tab w:val="right" w:pos="360"/>
          <w:tab w:val="left" w:pos="540"/>
        </w:tabs>
        <w:spacing w:after="0" w:line="240" w:lineRule="auto"/>
        <w:ind w:left="540" w:hanging="540"/>
        <w:rPr>
          <w:rFonts w:ascii="Arial" w:eastAsia="Times New Roman" w:hAnsi="Arial" w:cs="Arial"/>
          <w:sz w:val="20"/>
          <w:szCs w:val="20"/>
        </w:rPr>
      </w:pPr>
    </w:p>
    <w:p w14:paraId="71BEFE74" w14:textId="77777777" w:rsidR="006F15EF" w:rsidRPr="006F15EF" w:rsidRDefault="006F15EF" w:rsidP="006F15EF">
      <w:pPr>
        <w:widowControl w:val="0"/>
        <w:tabs>
          <w:tab w:val="left" w:pos="0"/>
          <w:tab w:val="right" w:pos="360"/>
        </w:tabs>
        <w:spacing w:after="0" w:line="240" w:lineRule="auto"/>
        <w:rPr>
          <w:rFonts w:ascii="Arial" w:eastAsia="Times New Roman" w:hAnsi="Arial" w:cs="Arial"/>
          <w:sz w:val="24"/>
          <w:szCs w:val="24"/>
        </w:rPr>
      </w:pPr>
      <w:r w:rsidRPr="006F15EF">
        <w:rPr>
          <w:rFonts w:ascii="Arial" w:eastAsia="Times New Roman" w:hAnsi="Arial" w:cs="Arial"/>
          <w:b/>
          <w:bCs/>
          <w:sz w:val="24"/>
          <w:szCs w:val="24"/>
        </w:rPr>
        <w:t xml:space="preserve">Transplantasjonsrelaterte problemstillinger: </w:t>
      </w:r>
      <w:r w:rsidRPr="006F15EF">
        <w:rPr>
          <w:rFonts w:ascii="Arial" w:eastAsia="Times New Roman" w:hAnsi="Arial" w:cs="Arial"/>
          <w:sz w:val="24"/>
          <w:szCs w:val="24"/>
        </w:rPr>
        <w:t>Søknad med problemstilling kan rettes til Norsk gruppe for allogene stamcelletransplantasjoner ved leder Tobias Gedde-Dahl, Seksjon for blodsykdommer, Medisinsk avdeling, OUS Rikshospitalet, 0027 Oslo.</w:t>
      </w:r>
    </w:p>
    <w:p w14:paraId="47349FF3" w14:textId="77777777" w:rsidR="006F15EF" w:rsidRPr="006F15EF" w:rsidRDefault="006F15EF" w:rsidP="006F15EF">
      <w:pPr>
        <w:widowControl w:val="0"/>
        <w:spacing w:after="0" w:line="240" w:lineRule="auto"/>
        <w:rPr>
          <w:rFonts w:ascii="Arial" w:eastAsia="Times New Roman" w:hAnsi="Arial" w:cs="Arial"/>
          <w:b/>
          <w:bCs/>
          <w:sz w:val="24"/>
          <w:szCs w:val="24"/>
        </w:rPr>
      </w:pPr>
    </w:p>
    <w:p w14:paraId="48E91833" w14:textId="77777777" w:rsidR="006F15EF" w:rsidRPr="006F15EF" w:rsidRDefault="006F15EF" w:rsidP="006F15EF">
      <w:pPr>
        <w:widowControl w:val="0"/>
        <w:spacing w:after="0" w:line="240" w:lineRule="auto"/>
        <w:rPr>
          <w:rFonts w:ascii="Arial" w:eastAsia="Times New Roman" w:hAnsi="Arial" w:cs="Arial"/>
          <w:b/>
          <w:bCs/>
          <w:sz w:val="24"/>
          <w:szCs w:val="24"/>
        </w:rPr>
      </w:pPr>
      <w:r w:rsidRPr="006F15EF">
        <w:rPr>
          <w:rFonts w:ascii="Arial" w:eastAsia="Times New Roman" w:hAnsi="Arial" w:cs="Arial"/>
          <w:b/>
          <w:bCs/>
          <w:sz w:val="24"/>
          <w:szCs w:val="24"/>
        </w:rPr>
        <w:t xml:space="preserve">Studier: </w:t>
      </w:r>
    </w:p>
    <w:p w14:paraId="2BFDFF31" w14:textId="7131652B" w:rsidR="001A0E99" w:rsidRDefault="00443CCE" w:rsidP="006F15EF">
      <w:pPr>
        <w:widowControl w:val="0"/>
        <w:spacing w:after="0" w:line="240" w:lineRule="auto"/>
        <w:rPr>
          <w:rFonts w:ascii="Arial" w:eastAsia="Times New Roman" w:hAnsi="Arial" w:cs="Arial"/>
          <w:sz w:val="24"/>
          <w:szCs w:val="24"/>
        </w:rPr>
      </w:pPr>
      <w:r w:rsidRPr="00DF0889">
        <w:rPr>
          <w:rFonts w:ascii="Arial" w:eastAsia="Times New Roman" w:hAnsi="Arial" w:cs="Arial"/>
          <w:i/>
          <w:iCs/>
          <w:sz w:val="24"/>
          <w:szCs w:val="24"/>
          <w:u w:val="single"/>
        </w:rPr>
        <w:t>DAStop2</w:t>
      </w:r>
      <w:r w:rsidR="0059051E" w:rsidRPr="00DF0889">
        <w:rPr>
          <w:rFonts w:ascii="Arial" w:eastAsia="Times New Roman" w:hAnsi="Arial" w:cs="Arial"/>
          <w:i/>
          <w:iCs/>
          <w:sz w:val="24"/>
          <w:szCs w:val="24"/>
          <w:u w:val="single"/>
        </w:rPr>
        <w:t>:</w:t>
      </w:r>
      <w:r w:rsidR="0059051E">
        <w:rPr>
          <w:rFonts w:ascii="Arial" w:eastAsia="Times New Roman" w:hAnsi="Arial" w:cs="Arial"/>
          <w:i/>
          <w:iCs/>
          <w:sz w:val="24"/>
          <w:szCs w:val="24"/>
          <w:u w:val="single"/>
        </w:rPr>
        <w:t xml:space="preserve"> </w:t>
      </w:r>
      <w:r w:rsidR="0026643F" w:rsidRPr="00A1775A">
        <w:rPr>
          <w:rFonts w:ascii="Arial" w:eastAsia="Times New Roman" w:hAnsi="Arial" w:cs="Arial"/>
          <w:iCs/>
          <w:sz w:val="24"/>
          <w:szCs w:val="24"/>
        </w:rPr>
        <w:t xml:space="preserve">2. gangs </w:t>
      </w:r>
      <w:r w:rsidR="0026643F" w:rsidRPr="00A1775A">
        <w:rPr>
          <w:rFonts w:ascii="Arial" w:eastAsia="Times New Roman" w:hAnsi="Arial" w:cs="Arial"/>
          <w:sz w:val="24"/>
          <w:szCs w:val="24"/>
        </w:rPr>
        <w:t>s</w:t>
      </w:r>
      <w:r w:rsidR="006F15EF" w:rsidRPr="0059051E">
        <w:rPr>
          <w:rFonts w:ascii="Arial" w:eastAsia="Times New Roman" w:hAnsi="Arial" w:cs="Arial"/>
          <w:sz w:val="24"/>
          <w:szCs w:val="24"/>
        </w:rPr>
        <w:t>eponering</w:t>
      </w:r>
      <w:r w:rsidR="0026643F" w:rsidRPr="0059051E">
        <w:rPr>
          <w:rFonts w:ascii="Arial" w:eastAsia="Times New Roman" w:hAnsi="Arial" w:cs="Arial"/>
          <w:sz w:val="24"/>
          <w:szCs w:val="24"/>
        </w:rPr>
        <w:t xml:space="preserve">sforsøk </w:t>
      </w:r>
      <w:r w:rsidR="006F15EF" w:rsidRPr="0059051E">
        <w:rPr>
          <w:rFonts w:ascii="Arial" w:eastAsia="Times New Roman" w:hAnsi="Arial" w:cs="Arial"/>
          <w:sz w:val="24"/>
          <w:szCs w:val="24"/>
        </w:rPr>
        <w:t>av TKI hos pas</w:t>
      </w:r>
      <w:r w:rsidR="0026643F" w:rsidRPr="0059051E">
        <w:rPr>
          <w:rFonts w:ascii="Arial" w:eastAsia="Times New Roman" w:hAnsi="Arial" w:cs="Arial"/>
          <w:sz w:val="24"/>
          <w:szCs w:val="24"/>
        </w:rPr>
        <w:t>ienter som har gjennomført stoppforsøk som i EuroSKI studien. Pas</w:t>
      </w:r>
      <w:r w:rsidR="006F15EF" w:rsidRPr="0059051E">
        <w:rPr>
          <w:rFonts w:ascii="Arial" w:eastAsia="Times New Roman" w:hAnsi="Arial" w:cs="Arial"/>
          <w:sz w:val="24"/>
          <w:szCs w:val="24"/>
        </w:rPr>
        <w:t xml:space="preserve"> </w:t>
      </w:r>
      <w:r w:rsidR="0026643F" w:rsidRPr="0059051E">
        <w:rPr>
          <w:rFonts w:ascii="Arial" w:eastAsia="Times New Roman" w:hAnsi="Arial" w:cs="Arial"/>
          <w:sz w:val="24"/>
          <w:szCs w:val="24"/>
        </w:rPr>
        <w:t xml:space="preserve">byttes til dasatinib og kan stoppe dersom </w:t>
      </w:r>
      <w:r w:rsidR="006F15EF" w:rsidRPr="0059051E">
        <w:rPr>
          <w:rFonts w:ascii="Arial" w:eastAsia="Times New Roman" w:hAnsi="Arial" w:cs="Arial"/>
          <w:sz w:val="24"/>
          <w:szCs w:val="24"/>
        </w:rPr>
        <w:t>med MR4 i mer enn 1 år og</w:t>
      </w:r>
      <w:r w:rsidR="0026643F" w:rsidRPr="0059051E">
        <w:rPr>
          <w:rFonts w:ascii="Arial" w:eastAsia="Times New Roman" w:hAnsi="Arial" w:cs="Arial"/>
          <w:sz w:val="24"/>
          <w:szCs w:val="24"/>
        </w:rPr>
        <w:t xml:space="preserve"> de har fått</w:t>
      </w:r>
      <w:r w:rsidR="006F15EF" w:rsidRPr="0059051E">
        <w:rPr>
          <w:rFonts w:ascii="Arial" w:eastAsia="Times New Roman" w:hAnsi="Arial" w:cs="Arial"/>
          <w:sz w:val="24"/>
          <w:szCs w:val="24"/>
        </w:rPr>
        <w:t xml:space="preserve"> total</w:t>
      </w:r>
      <w:r w:rsidR="006F15EF" w:rsidRPr="006F15EF">
        <w:rPr>
          <w:rFonts w:ascii="Arial" w:eastAsia="Times New Roman" w:hAnsi="Arial" w:cs="Arial"/>
          <w:sz w:val="24"/>
          <w:szCs w:val="24"/>
        </w:rPr>
        <w:t xml:space="preserve"> TKI-behandling i minimum 3 år</w:t>
      </w:r>
      <w:r w:rsidR="0059051E">
        <w:rPr>
          <w:rFonts w:ascii="Arial" w:eastAsia="Times New Roman" w:hAnsi="Arial" w:cs="Arial"/>
          <w:sz w:val="24"/>
          <w:szCs w:val="24"/>
        </w:rPr>
        <w:t xml:space="preserve"> fra 1. relaps</w:t>
      </w:r>
      <w:r w:rsidR="006F15EF" w:rsidRPr="006F15EF">
        <w:rPr>
          <w:rFonts w:ascii="Arial" w:eastAsia="Times New Roman" w:hAnsi="Arial" w:cs="Arial"/>
          <w:sz w:val="24"/>
          <w:szCs w:val="24"/>
        </w:rPr>
        <w:t>. Info</w:t>
      </w:r>
      <w:r>
        <w:rPr>
          <w:rFonts w:ascii="Arial" w:eastAsia="Times New Roman" w:hAnsi="Arial" w:cs="Arial"/>
          <w:sz w:val="24"/>
          <w:szCs w:val="24"/>
        </w:rPr>
        <w:t>: mawa@sus.no</w:t>
      </w:r>
      <w:r w:rsidR="006F15EF" w:rsidRPr="006F15EF">
        <w:rPr>
          <w:rFonts w:ascii="Arial" w:eastAsia="Times New Roman" w:hAnsi="Arial" w:cs="Arial"/>
          <w:sz w:val="24"/>
          <w:szCs w:val="24"/>
        </w:rPr>
        <w:t xml:space="preserve"> eller regionansvarlig for KML</w:t>
      </w:r>
      <w:r w:rsidR="00726FF0">
        <w:rPr>
          <w:rFonts w:ascii="Arial" w:eastAsia="Times New Roman" w:hAnsi="Arial" w:cs="Arial"/>
          <w:sz w:val="24"/>
          <w:szCs w:val="24"/>
        </w:rPr>
        <w:t>. Inklusjon fra 2018</w:t>
      </w:r>
      <w:r w:rsidR="001A0E99">
        <w:rPr>
          <w:rFonts w:ascii="Arial" w:eastAsia="Times New Roman" w:hAnsi="Arial" w:cs="Arial"/>
          <w:sz w:val="24"/>
          <w:szCs w:val="24"/>
        </w:rPr>
        <w:t>, men pågår ennå</w:t>
      </w:r>
    </w:p>
    <w:p w14:paraId="3B249880" w14:textId="31132A30" w:rsidR="006F15EF" w:rsidRDefault="001A0E99" w:rsidP="006F15EF">
      <w:pPr>
        <w:widowControl w:val="0"/>
        <w:spacing w:after="0" w:line="240" w:lineRule="auto"/>
        <w:rPr>
          <w:rFonts w:ascii="Arial" w:eastAsia="Times New Roman" w:hAnsi="Arial" w:cs="Arial"/>
          <w:sz w:val="24"/>
          <w:szCs w:val="24"/>
        </w:rPr>
      </w:pPr>
      <w:r w:rsidRPr="0017798E">
        <w:rPr>
          <w:rFonts w:ascii="Arial" w:eastAsia="Times New Roman" w:hAnsi="Arial" w:cs="Arial"/>
          <w:i/>
          <w:iCs/>
          <w:sz w:val="24"/>
          <w:szCs w:val="24"/>
          <w:u w:val="single"/>
        </w:rPr>
        <w:t>SCAN-ALL</w:t>
      </w:r>
      <w:r w:rsidR="00726FF0" w:rsidRPr="0017798E">
        <w:rPr>
          <w:rFonts w:ascii="Arial" w:eastAsia="Times New Roman" w:hAnsi="Arial" w:cs="Arial"/>
          <w:i/>
          <w:iCs/>
          <w:sz w:val="24"/>
          <w:szCs w:val="24"/>
          <w:u w:val="single"/>
        </w:rPr>
        <w:t>.</w:t>
      </w:r>
      <w:r>
        <w:rPr>
          <w:rFonts w:ascii="Arial" w:eastAsia="Times New Roman" w:hAnsi="Arial" w:cs="Arial"/>
          <w:sz w:val="24"/>
          <w:szCs w:val="24"/>
        </w:rPr>
        <w:t xml:space="preserve"> Studie av next generation </w:t>
      </w:r>
      <w:r w:rsidR="00DF0889">
        <w:rPr>
          <w:rFonts w:ascii="Arial" w:eastAsia="Times New Roman" w:hAnsi="Arial" w:cs="Arial"/>
          <w:sz w:val="24"/>
          <w:szCs w:val="24"/>
        </w:rPr>
        <w:t>s</w:t>
      </w:r>
      <w:r>
        <w:rPr>
          <w:rFonts w:ascii="Arial" w:eastAsia="Times New Roman" w:hAnsi="Arial" w:cs="Arial"/>
          <w:sz w:val="24"/>
          <w:szCs w:val="24"/>
        </w:rPr>
        <w:t>equencing</w:t>
      </w:r>
      <w:r w:rsidR="00DF0889">
        <w:rPr>
          <w:rFonts w:ascii="Arial" w:eastAsia="Times New Roman" w:hAnsi="Arial" w:cs="Arial"/>
          <w:sz w:val="24"/>
          <w:szCs w:val="24"/>
        </w:rPr>
        <w:t xml:space="preserve"> (NGS)</w:t>
      </w:r>
      <w:r>
        <w:rPr>
          <w:rFonts w:ascii="Arial" w:eastAsia="Times New Roman" w:hAnsi="Arial" w:cs="Arial"/>
          <w:sz w:val="24"/>
          <w:szCs w:val="24"/>
        </w:rPr>
        <w:t xml:space="preserve"> </w:t>
      </w:r>
      <w:r w:rsidR="00DF0889">
        <w:rPr>
          <w:rFonts w:ascii="Arial" w:eastAsia="Times New Roman" w:hAnsi="Arial" w:cs="Arial"/>
          <w:sz w:val="24"/>
          <w:szCs w:val="24"/>
        </w:rPr>
        <w:t xml:space="preserve">som sensitiv mutasjonsdeteksjon hos pasienter med KML og ikke-optimal respons respons. </w:t>
      </w:r>
      <w:r w:rsidR="00726FF0">
        <w:rPr>
          <w:rFonts w:ascii="Arial" w:eastAsia="Times New Roman" w:hAnsi="Arial" w:cs="Arial"/>
          <w:sz w:val="24"/>
          <w:szCs w:val="24"/>
        </w:rPr>
        <w:t xml:space="preserve"> </w:t>
      </w:r>
    </w:p>
    <w:p w14:paraId="6DC92A72" w14:textId="0F032526" w:rsidR="006F15EF" w:rsidRDefault="00DF0889" w:rsidP="006F15EF">
      <w:pPr>
        <w:widowControl w:val="0"/>
        <w:spacing w:after="0" w:line="240" w:lineRule="auto"/>
        <w:rPr>
          <w:rFonts w:ascii="Arial" w:eastAsia="Times New Roman" w:hAnsi="Arial" w:cs="Arial"/>
          <w:sz w:val="24"/>
          <w:szCs w:val="24"/>
        </w:rPr>
      </w:pPr>
      <w:r w:rsidRPr="0017798E">
        <w:rPr>
          <w:rFonts w:ascii="Arial" w:eastAsia="Times New Roman" w:hAnsi="Arial" w:cs="Arial"/>
          <w:i/>
          <w:iCs/>
          <w:sz w:val="24"/>
          <w:szCs w:val="24"/>
          <w:u w:val="single"/>
        </w:rPr>
        <w:lastRenderedPageBreak/>
        <w:t>NordCML13/Labstop</w:t>
      </w:r>
      <w:r>
        <w:rPr>
          <w:rFonts w:ascii="Arial" w:eastAsia="Times New Roman" w:hAnsi="Arial" w:cs="Arial"/>
          <w:sz w:val="24"/>
          <w:szCs w:val="24"/>
        </w:rPr>
        <w:t>: Studie av immunologi og stamceller hos pasienter som skal stoppe TKI-behandling for TFR i vanlig klinisk praksis.</w:t>
      </w:r>
      <w:r w:rsidR="0050725A">
        <w:rPr>
          <w:rFonts w:ascii="Arial" w:eastAsia="Times New Roman" w:hAnsi="Arial" w:cs="Arial"/>
          <w:sz w:val="24"/>
          <w:szCs w:val="24"/>
        </w:rPr>
        <w:t xml:space="preserve"> Meget lovende avansert laboratoriemetodikk benyttes, og prøvetakingen er enkel.</w:t>
      </w:r>
      <w:r w:rsidR="0050725A" w:rsidRPr="006F15EF" w:rsidDel="0050725A">
        <w:rPr>
          <w:rFonts w:ascii="Arial" w:eastAsia="Times New Roman" w:hAnsi="Arial" w:cs="Arial"/>
          <w:sz w:val="24"/>
          <w:szCs w:val="24"/>
        </w:rPr>
        <w:t xml:space="preserve"> </w:t>
      </w:r>
    </w:p>
    <w:p w14:paraId="15C587A0" w14:textId="77777777" w:rsidR="00B3520D" w:rsidRPr="006F15EF" w:rsidRDefault="00B3520D" w:rsidP="006F15EF">
      <w:pPr>
        <w:widowControl w:val="0"/>
        <w:spacing w:after="0" w:line="240" w:lineRule="auto"/>
        <w:rPr>
          <w:rFonts w:ascii="Arial" w:eastAsia="Times New Roman" w:hAnsi="Arial" w:cs="Arial"/>
          <w:sz w:val="24"/>
          <w:szCs w:val="24"/>
        </w:rPr>
      </w:pPr>
    </w:p>
    <w:p w14:paraId="596E3D64" w14:textId="77777777" w:rsidR="006F15EF" w:rsidRPr="006F15EF" w:rsidRDefault="006F15EF" w:rsidP="006F15EF">
      <w:pPr>
        <w:widowControl w:val="0"/>
        <w:spacing w:after="0" w:line="240" w:lineRule="auto"/>
        <w:rPr>
          <w:rFonts w:ascii="Arial" w:eastAsia="Times New Roman" w:hAnsi="Arial" w:cs="Arial"/>
          <w:b/>
          <w:bCs/>
          <w:sz w:val="24"/>
          <w:szCs w:val="24"/>
        </w:rPr>
      </w:pPr>
      <w:r w:rsidRPr="006F15EF">
        <w:rPr>
          <w:rFonts w:ascii="Arial" w:eastAsia="Times New Roman" w:hAnsi="Arial" w:cs="Arial"/>
          <w:b/>
          <w:bCs/>
          <w:sz w:val="24"/>
          <w:szCs w:val="24"/>
        </w:rPr>
        <w:t>Hovedansvarlige for KML-behandling inklusive studier i helsforetakene er:</w:t>
      </w:r>
    </w:p>
    <w:p w14:paraId="75360768" w14:textId="77777777" w:rsidR="006F15EF" w:rsidRPr="006F15EF" w:rsidRDefault="006F15EF" w:rsidP="006F15EF">
      <w:pPr>
        <w:widowControl w:val="0"/>
        <w:spacing w:after="0" w:line="240" w:lineRule="auto"/>
        <w:rPr>
          <w:rFonts w:ascii="Arial" w:eastAsia="Times New Roman" w:hAnsi="Arial" w:cs="Arial"/>
          <w:sz w:val="24"/>
          <w:szCs w:val="24"/>
          <w:lang w:val="nn-NO"/>
        </w:rPr>
      </w:pPr>
      <w:r w:rsidRPr="006F15EF">
        <w:rPr>
          <w:rFonts w:ascii="Arial" w:eastAsia="Times New Roman" w:hAnsi="Arial" w:cs="Arial"/>
          <w:sz w:val="24"/>
          <w:szCs w:val="24"/>
          <w:lang w:val="nn-NO"/>
        </w:rPr>
        <w:t xml:space="preserve">Bergen: </w:t>
      </w:r>
      <w:r w:rsidRPr="006F15EF">
        <w:rPr>
          <w:rFonts w:ascii="Arial" w:eastAsia="Times New Roman" w:hAnsi="Arial" w:cs="Arial"/>
          <w:sz w:val="24"/>
          <w:szCs w:val="24"/>
          <w:lang w:val="nn-NO"/>
        </w:rPr>
        <w:tab/>
      </w:r>
      <w:r w:rsidRPr="006F15EF">
        <w:rPr>
          <w:rFonts w:ascii="Arial" w:eastAsia="Times New Roman" w:hAnsi="Arial" w:cs="Arial"/>
          <w:sz w:val="24"/>
          <w:szCs w:val="24"/>
          <w:lang w:val="nn-NO"/>
        </w:rPr>
        <w:tab/>
        <w:t xml:space="preserve">Bjørn Tore Gjertsen </w:t>
      </w:r>
      <w:r w:rsidRPr="006F15EF">
        <w:rPr>
          <w:rFonts w:ascii="Arial" w:eastAsia="Times New Roman" w:hAnsi="Arial" w:cs="Arial"/>
          <w:sz w:val="24"/>
          <w:szCs w:val="24"/>
          <w:lang w:val="nn-NO"/>
        </w:rPr>
        <w:tab/>
      </w:r>
      <w:hyperlink r:id="rId11" w:history="1">
        <w:r w:rsidRPr="006F15EF">
          <w:rPr>
            <w:rFonts w:ascii="Arial" w:eastAsia="Times New Roman" w:hAnsi="Arial" w:cs="Times New Roman"/>
            <w:color w:val="0000FF"/>
            <w:sz w:val="24"/>
            <w:szCs w:val="24"/>
            <w:u w:val="single"/>
            <w:lang w:val="nn-NO"/>
          </w:rPr>
          <w:t>bjorn.gjertsen@med.uib.no</w:t>
        </w:r>
      </w:hyperlink>
    </w:p>
    <w:p w14:paraId="34C71811" w14:textId="77777777" w:rsidR="006F15EF" w:rsidRPr="006F15EF" w:rsidRDefault="006F15EF" w:rsidP="006F15EF">
      <w:pPr>
        <w:widowControl w:val="0"/>
        <w:spacing w:after="0" w:line="240" w:lineRule="auto"/>
        <w:rPr>
          <w:rFonts w:ascii="Arial" w:eastAsia="Times New Roman" w:hAnsi="Arial" w:cs="Arial"/>
          <w:sz w:val="24"/>
          <w:szCs w:val="24"/>
          <w:lang w:val="nn-NO"/>
        </w:rPr>
      </w:pPr>
      <w:r w:rsidRPr="006F15EF">
        <w:rPr>
          <w:rFonts w:ascii="Arial" w:eastAsia="Times New Roman" w:hAnsi="Arial" w:cs="Arial"/>
          <w:sz w:val="24"/>
          <w:szCs w:val="24"/>
          <w:lang w:val="nn-NO"/>
        </w:rPr>
        <w:t xml:space="preserve">Oslo: </w:t>
      </w:r>
      <w:r w:rsidRPr="006F15EF">
        <w:rPr>
          <w:rFonts w:ascii="Arial" w:eastAsia="Times New Roman" w:hAnsi="Arial" w:cs="Arial"/>
          <w:sz w:val="24"/>
          <w:szCs w:val="24"/>
          <w:lang w:val="nn-NO"/>
        </w:rPr>
        <w:tab/>
      </w:r>
      <w:r w:rsidRPr="006F15EF">
        <w:rPr>
          <w:rFonts w:ascii="Arial" w:eastAsia="Times New Roman" w:hAnsi="Arial" w:cs="Arial"/>
          <w:sz w:val="24"/>
          <w:szCs w:val="24"/>
          <w:lang w:val="nn-NO"/>
        </w:rPr>
        <w:tab/>
      </w:r>
      <w:r w:rsidRPr="006F15EF">
        <w:rPr>
          <w:rFonts w:ascii="Arial" w:eastAsia="Times New Roman" w:hAnsi="Arial" w:cs="Arial"/>
          <w:sz w:val="24"/>
          <w:szCs w:val="24"/>
          <w:lang w:val="nn-NO"/>
        </w:rPr>
        <w:tab/>
        <w:t>Tobias Gedde-Dahl</w:t>
      </w:r>
      <w:r w:rsidRPr="006F15EF">
        <w:rPr>
          <w:rFonts w:ascii="Arial" w:eastAsia="Times New Roman" w:hAnsi="Arial" w:cs="Arial"/>
          <w:sz w:val="24"/>
          <w:szCs w:val="24"/>
          <w:lang w:val="nn-NO"/>
        </w:rPr>
        <w:tab/>
      </w:r>
      <w:r w:rsidRPr="006F15EF">
        <w:rPr>
          <w:rFonts w:ascii="Arial" w:eastAsia="Times New Roman" w:hAnsi="Arial" w:cs="Arial"/>
          <w:sz w:val="24"/>
          <w:szCs w:val="24"/>
          <w:lang w:val="nn-NO"/>
        </w:rPr>
        <w:tab/>
      </w:r>
      <w:hyperlink r:id="rId12" w:history="1">
        <w:r w:rsidRPr="006F15EF">
          <w:rPr>
            <w:rFonts w:ascii="Arial" w:eastAsia="Times New Roman" w:hAnsi="Arial" w:cs="Times New Roman"/>
            <w:color w:val="0000FF"/>
            <w:sz w:val="24"/>
            <w:szCs w:val="24"/>
            <w:u w:val="single"/>
            <w:lang w:val="nn-NO"/>
          </w:rPr>
          <w:t>tgeddeda@ous-hf.no</w:t>
        </w:r>
      </w:hyperlink>
    </w:p>
    <w:p w14:paraId="54F3249C" w14:textId="77777777" w:rsidR="006F15EF" w:rsidRPr="006F15EF" w:rsidRDefault="006F15EF" w:rsidP="006F15EF">
      <w:pPr>
        <w:widowControl w:val="0"/>
        <w:spacing w:after="0" w:line="240" w:lineRule="auto"/>
        <w:rPr>
          <w:rFonts w:ascii="Arial" w:eastAsia="Times New Roman" w:hAnsi="Arial" w:cs="Arial"/>
          <w:sz w:val="24"/>
          <w:szCs w:val="24"/>
          <w:lang w:val="nn-NO"/>
        </w:rPr>
      </w:pPr>
      <w:r w:rsidRPr="006F15EF">
        <w:rPr>
          <w:rFonts w:ascii="Arial" w:eastAsia="Times New Roman" w:hAnsi="Arial" w:cs="Arial"/>
          <w:sz w:val="24"/>
          <w:szCs w:val="24"/>
          <w:lang w:val="nn-NO"/>
        </w:rPr>
        <w:t xml:space="preserve">Stavanger: </w:t>
      </w:r>
      <w:r w:rsidRPr="006F15EF">
        <w:rPr>
          <w:rFonts w:ascii="Arial" w:eastAsia="Times New Roman" w:hAnsi="Arial" w:cs="Arial"/>
          <w:sz w:val="24"/>
          <w:szCs w:val="24"/>
          <w:lang w:val="nn-NO"/>
        </w:rPr>
        <w:tab/>
      </w:r>
      <w:r w:rsidRPr="006F15EF">
        <w:rPr>
          <w:rFonts w:ascii="Arial" w:eastAsia="Times New Roman" w:hAnsi="Arial" w:cs="Arial"/>
          <w:sz w:val="24"/>
          <w:szCs w:val="24"/>
          <w:lang w:val="nn-NO"/>
        </w:rPr>
        <w:tab/>
        <w:t>Waleed Majeed</w:t>
      </w:r>
      <w:r w:rsidRPr="006F15EF">
        <w:rPr>
          <w:rFonts w:ascii="Arial" w:eastAsia="Times New Roman" w:hAnsi="Arial" w:cs="Arial"/>
          <w:sz w:val="24"/>
          <w:szCs w:val="24"/>
          <w:lang w:val="nn-NO"/>
        </w:rPr>
        <w:tab/>
      </w:r>
      <w:r w:rsidRPr="006F15EF">
        <w:rPr>
          <w:rFonts w:ascii="Arial" w:eastAsia="Times New Roman" w:hAnsi="Arial" w:cs="Arial"/>
          <w:sz w:val="24"/>
          <w:szCs w:val="24"/>
          <w:lang w:val="nn-NO"/>
        </w:rPr>
        <w:tab/>
      </w:r>
      <w:hyperlink r:id="rId13" w:history="1">
        <w:r w:rsidRPr="006F15EF">
          <w:rPr>
            <w:rFonts w:ascii="Arial" w:eastAsia="Times New Roman" w:hAnsi="Arial" w:cs="Times New Roman"/>
            <w:color w:val="0000FF"/>
            <w:sz w:val="24"/>
            <w:szCs w:val="24"/>
            <w:u w:val="single"/>
            <w:lang w:val="nn-NO"/>
          </w:rPr>
          <w:t>mawa@sus.no</w:t>
        </w:r>
      </w:hyperlink>
      <w:r w:rsidRPr="006F15EF">
        <w:rPr>
          <w:rFonts w:ascii="Arial" w:eastAsia="Times New Roman" w:hAnsi="Arial" w:cs="Arial"/>
          <w:sz w:val="24"/>
          <w:szCs w:val="24"/>
          <w:lang w:val="nn-NO"/>
        </w:rPr>
        <w:t xml:space="preserve"> </w:t>
      </w:r>
    </w:p>
    <w:p w14:paraId="0ED045BF" w14:textId="77777777" w:rsidR="006F15EF" w:rsidRPr="006F15EF" w:rsidRDefault="006F15EF" w:rsidP="006F15EF">
      <w:pPr>
        <w:widowControl w:val="0"/>
        <w:spacing w:after="0" w:line="240" w:lineRule="auto"/>
        <w:rPr>
          <w:rFonts w:ascii="Arial" w:eastAsia="Times New Roman" w:hAnsi="Arial" w:cs="Arial"/>
          <w:sz w:val="24"/>
          <w:szCs w:val="24"/>
          <w:lang w:val="nn-NO"/>
        </w:rPr>
      </w:pPr>
      <w:r w:rsidRPr="006F15EF">
        <w:rPr>
          <w:rFonts w:ascii="Arial" w:eastAsia="Times New Roman" w:hAnsi="Arial" w:cs="Arial"/>
          <w:sz w:val="24"/>
          <w:szCs w:val="24"/>
          <w:lang w:val="nn-NO"/>
        </w:rPr>
        <w:t xml:space="preserve">Tromsø: </w:t>
      </w:r>
      <w:r w:rsidRPr="006F15EF">
        <w:rPr>
          <w:rFonts w:ascii="Arial" w:eastAsia="Times New Roman" w:hAnsi="Arial" w:cs="Arial"/>
          <w:sz w:val="24"/>
          <w:szCs w:val="24"/>
          <w:lang w:val="nn-NO"/>
        </w:rPr>
        <w:tab/>
      </w:r>
      <w:r w:rsidRPr="006F15EF">
        <w:rPr>
          <w:rFonts w:ascii="Arial" w:eastAsia="Times New Roman" w:hAnsi="Arial" w:cs="Arial"/>
          <w:sz w:val="24"/>
          <w:szCs w:val="24"/>
          <w:lang w:val="nn-NO"/>
        </w:rPr>
        <w:tab/>
      </w:r>
      <w:r w:rsidR="004901DD">
        <w:rPr>
          <w:rFonts w:ascii="Arial" w:eastAsia="Times New Roman" w:hAnsi="Arial" w:cs="Arial"/>
          <w:sz w:val="24"/>
          <w:szCs w:val="24"/>
          <w:lang w:val="nn-NO"/>
        </w:rPr>
        <w:t>Anders Vik</w:t>
      </w:r>
      <w:r w:rsidRPr="006F15EF">
        <w:rPr>
          <w:rFonts w:ascii="Arial" w:eastAsia="Times New Roman" w:hAnsi="Arial" w:cs="Arial"/>
          <w:sz w:val="24"/>
          <w:szCs w:val="24"/>
          <w:lang w:val="nn-NO"/>
        </w:rPr>
        <w:tab/>
      </w:r>
      <w:r w:rsidRPr="006F15EF">
        <w:rPr>
          <w:rFonts w:ascii="Arial" w:eastAsia="Times New Roman" w:hAnsi="Arial" w:cs="Arial"/>
          <w:sz w:val="24"/>
          <w:szCs w:val="24"/>
          <w:lang w:val="nn-NO"/>
        </w:rPr>
        <w:tab/>
      </w:r>
      <w:r w:rsidR="004901DD">
        <w:rPr>
          <w:rFonts w:ascii="Arial" w:eastAsia="Times New Roman" w:hAnsi="Arial" w:cs="Arial"/>
          <w:sz w:val="24"/>
          <w:szCs w:val="24"/>
          <w:lang w:val="nn-NO"/>
        </w:rPr>
        <w:tab/>
      </w:r>
      <w:hyperlink r:id="rId14" w:history="1">
        <w:r w:rsidR="004901DD" w:rsidRPr="00F05554">
          <w:rPr>
            <w:rStyle w:val="Hyperlink"/>
            <w:rFonts w:ascii="Arial" w:eastAsia="Times New Roman" w:hAnsi="Arial" w:cs="Times New Roman"/>
            <w:sz w:val="24"/>
            <w:szCs w:val="24"/>
            <w:lang w:val="nn-NO"/>
          </w:rPr>
          <w:t>anders.vik@</w:t>
        </w:r>
      </w:hyperlink>
      <w:r w:rsidR="004901DD">
        <w:rPr>
          <w:rFonts w:ascii="Arial" w:eastAsia="Times New Roman" w:hAnsi="Arial" w:cs="Arial"/>
          <w:sz w:val="24"/>
          <w:szCs w:val="24"/>
        </w:rPr>
        <w:t>unn.no</w:t>
      </w:r>
    </w:p>
    <w:p w14:paraId="67107864" w14:textId="77777777" w:rsidR="006F15EF" w:rsidRPr="006F15EF" w:rsidRDefault="006F15EF" w:rsidP="006F15EF">
      <w:pPr>
        <w:widowControl w:val="0"/>
        <w:spacing w:after="0" w:line="240" w:lineRule="auto"/>
        <w:rPr>
          <w:rFonts w:ascii="Arial" w:eastAsia="Times New Roman" w:hAnsi="Arial" w:cs="Arial"/>
          <w:sz w:val="24"/>
          <w:szCs w:val="24"/>
          <w:lang w:val="nn-NO"/>
        </w:rPr>
      </w:pPr>
      <w:r w:rsidRPr="006F15EF">
        <w:rPr>
          <w:rFonts w:ascii="Arial" w:eastAsia="Times New Roman" w:hAnsi="Arial" w:cs="Arial"/>
          <w:sz w:val="24"/>
          <w:szCs w:val="24"/>
          <w:lang w:val="nn-NO"/>
        </w:rPr>
        <w:t xml:space="preserve">Trondheim: </w:t>
      </w:r>
      <w:r w:rsidRPr="006F15EF">
        <w:rPr>
          <w:rFonts w:ascii="Arial" w:eastAsia="Times New Roman" w:hAnsi="Arial" w:cs="Arial"/>
          <w:sz w:val="24"/>
          <w:szCs w:val="24"/>
          <w:lang w:val="nn-NO"/>
        </w:rPr>
        <w:tab/>
      </w:r>
      <w:r w:rsidRPr="006F15EF">
        <w:rPr>
          <w:rFonts w:ascii="Arial" w:eastAsia="Times New Roman" w:hAnsi="Arial" w:cs="Arial"/>
          <w:sz w:val="24"/>
          <w:szCs w:val="24"/>
          <w:lang w:val="nn-NO"/>
        </w:rPr>
        <w:tab/>
        <w:t>Henrik Hjorth-Hansen</w:t>
      </w:r>
      <w:r w:rsidRPr="006F15EF">
        <w:rPr>
          <w:rFonts w:ascii="Arial" w:eastAsia="Times New Roman" w:hAnsi="Arial" w:cs="Arial"/>
          <w:sz w:val="24"/>
          <w:szCs w:val="24"/>
          <w:lang w:val="nn-NO"/>
        </w:rPr>
        <w:tab/>
      </w:r>
      <w:hyperlink r:id="rId15" w:history="1">
        <w:r w:rsidRPr="006F15EF">
          <w:rPr>
            <w:rFonts w:ascii="Arial" w:eastAsia="Times New Roman" w:hAnsi="Arial" w:cs="Times New Roman"/>
            <w:color w:val="0000FF"/>
            <w:sz w:val="24"/>
            <w:szCs w:val="24"/>
            <w:u w:val="single"/>
            <w:lang w:val="nn-NO"/>
          </w:rPr>
          <w:t>henrik.hjorth-hansen@ntnu.no</w:t>
        </w:r>
      </w:hyperlink>
    </w:p>
    <w:p w14:paraId="7DE78385" w14:textId="77777777" w:rsidR="006F15EF" w:rsidRPr="006F15EF" w:rsidRDefault="006F15EF" w:rsidP="006F15EF">
      <w:pPr>
        <w:widowControl w:val="0"/>
        <w:spacing w:after="0" w:line="240" w:lineRule="auto"/>
        <w:rPr>
          <w:rFonts w:ascii="Arial" w:eastAsia="Times New Roman" w:hAnsi="Arial" w:cs="Arial"/>
          <w:sz w:val="24"/>
          <w:szCs w:val="24"/>
          <w:lang w:val="nn-NO"/>
        </w:rPr>
      </w:pPr>
    </w:p>
    <w:p w14:paraId="35AD7470" w14:textId="77777777" w:rsidR="006F15EF" w:rsidRPr="006F15EF" w:rsidRDefault="006F15EF" w:rsidP="006F15EF">
      <w:pPr>
        <w:widowControl w:val="0"/>
        <w:spacing w:after="0" w:line="240" w:lineRule="auto"/>
        <w:rPr>
          <w:rFonts w:ascii="Arial" w:eastAsia="Times New Roman" w:hAnsi="Arial" w:cs="Arial"/>
          <w:b/>
          <w:bCs/>
          <w:sz w:val="24"/>
          <w:szCs w:val="24"/>
        </w:rPr>
      </w:pPr>
      <w:r w:rsidRPr="006F15EF">
        <w:rPr>
          <w:rFonts w:ascii="Arial" w:eastAsia="Times New Roman" w:hAnsi="Arial" w:cs="Arial"/>
          <w:b/>
          <w:bCs/>
          <w:sz w:val="24"/>
          <w:szCs w:val="24"/>
        </w:rPr>
        <w:t>Adresser for prøveforsendelse:</w:t>
      </w:r>
    </w:p>
    <w:p w14:paraId="5A58AE8C" w14:textId="77777777" w:rsidR="006F15EF" w:rsidRPr="006F15EF" w:rsidRDefault="006F15EF" w:rsidP="006F15EF">
      <w:pPr>
        <w:widowControl w:val="0"/>
        <w:spacing w:after="0" w:line="240" w:lineRule="auto"/>
        <w:rPr>
          <w:rFonts w:ascii="Arial" w:eastAsia="Times New Roman" w:hAnsi="Arial" w:cs="Arial"/>
        </w:rPr>
      </w:pPr>
      <w:r w:rsidRPr="006F15EF">
        <w:rPr>
          <w:rFonts w:ascii="Arial" w:eastAsia="Times New Roman" w:hAnsi="Arial" w:cs="Arial"/>
          <w:i/>
          <w:iCs/>
        </w:rPr>
        <w:t>Cytogenetisk undersøkelse (karyotypering) og FISH.</w:t>
      </w:r>
      <w:r w:rsidRPr="006F15EF">
        <w:rPr>
          <w:rFonts w:ascii="Arial" w:eastAsia="Times New Roman" w:hAnsi="Arial" w:cs="Arial"/>
        </w:rPr>
        <w:t xml:space="preserve"> 10 mL perifert blod med heparin som anti-koagulant. Fra beinmarg tas 2-5 mL med tilsatt heparin i McCoys medium. Helst ikke på fredager eller dager før helligdager.</w:t>
      </w:r>
    </w:p>
    <w:p w14:paraId="172D241A" w14:textId="77777777" w:rsidR="006F15EF" w:rsidRPr="006F15EF" w:rsidRDefault="006F15EF" w:rsidP="006F15EF">
      <w:pPr>
        <w:widowControl w:val="0"/>
        <w:spacing w:after="0" w:line="240" w:lineRule="auto"/>
        <w:rPr>
          <w:rFonts w:ascii="Arial" w:eastAsia="Times New Roman" w:hAnsi="Arial" w:cs="Arial"/>
        </w:rPr>
      </w:pPr>
      <w:r w:rsidRPr="006F15EF">
        <w:rPr>
          <w:rFonts w:ascii="Arial" w:eastAsia="Times New Roman" w:hAnsi="Arial" w:cs="Arial"/>
        </w:rPr>
        <w:t>Seksjon for Cytogenetikk, Fagområde Kreftgenetikk, OUS-Montebello N-0310 Oslo                      Telefon: 23 93 44 37</w:t>
      </w:r>
    </w:p>
    <w:p w14:paraId="1803586C" w14:textId="77777777" w:rsidR="000221A6" w:rsidRDefault="006F15EF" w:rsidP="006F15EF">
      <w:pPr>
        <w:widowControl w:val="0"/>
        <w:spacing w:after="0" w:line="240" w:lineRule="auto"/>
        <w:rPr>
          <w:rFonts w:ascii="Arial" w:eastAsia="Times New Roman" w:hAnsi="Arial" w:cs="Arial"/>
        </w:rPr>
      </w:pPr>
      <w:r w:rsidRPr="00153DDF">
        <w:rPr>
          <w:rFonts w:ascii="Arial" w:eastAsia="Times New Roman" w:hAnsi="Arial" w:cs="Arial"/>
          <w:u w:val="single"/>
        </w:rPr>
        <w:t xml:space="preserve">Senter for medisinsk genetikk </w:t>
      </w:r>
      <w:r w:rsidRPr="00726FF0">
        <w:rPr>
          <w:rFonts w:ascii="Arial" w:eastAsia="Times New Roman" w:hAnsi="Arial" w:cs="Arial"/>
          <w:u w:val="single"/>
        </w:rPr>
        <w:t>og molekylærmedisin</w:t>
      </w:r>
      <w:r w:rsidR="00726FF0">
        <w:rPr>
          <w:rFonts w:ascii="Arial" w:eastAsia="Times New Roman" w:hAnsi="Arial" w:cs="Arial"/>
        </w:rPr>
        <w:t>, Hau</w:t>
      </w:r>
      <w:r w:rsidRPr="006F15EF">
        <w:rPr>
          <w:rFonts w:ascii="Arial" w:eastAsia="Times New Roman" w:hAnsi="Arial" w:cs="Arial"/>
        </w:rPr>
        <w:t xml:space="preserve">keland Universitetssykehus, 5021 Bergen                                                                                                    </w:t>
      </w:r>
    </w:p>
    <w:p w14:paraId="39CEBADC" w14:textId="06B4E678" w:rsidR="006F15EF" w:rsidRPr="006F15EF" w:rsidRDefault="006F15EF" w:rsidP="006F15EF">
      <w:pPr>
        <w:widowControl w:val="0"/>
        <w:spacing w:after="0" w:line="240" w:lineRule="auto"/>
        <w:rPr>
          <w:rFonts w:ascii="Arial" w:eastAsia="Times New Roman" w:hAnsi="Arial" w:cs="Arial"/>
        </w:rPr>
      </w:pPr>
      <w:r w:rsidRPr="006F15EF">
        <w:rPr>
          <w:rFonts w:ascii="Arial" w:eastAsia="Times New Roman" w:hAnsi="Arial" w:cs="Arial"/>
        </w:rPr>
        <w:t xml:space="preserve">e-post: </w:t>
      </w:r>
      <w:hyperlink r:id="rId16" w:history="1">
        <w:r w:rsidRPr="006F15EF">
          <w:rPr>
            <w:rFonts w:ascii="Arial" w:eastAsia="Times New Roman" w:hAnsi="Arial" w:cs="Times New Roman"/>
            <w:color w:val="0000FF"/>
            <w:u w:val="single"/>
          </w:rPr>
          <w:t>rhov@haukeland.no</w:t>
        </w:r>
      </w:hyperlink>
      <w:r w:rsidRPr="006F15EF">
        <w:rPr>
          <w:rFonts w:ascii="Arial" w:eastAsia="Times New Roman" w:hAnsi="Arial" w:cs="Arial"/>
        </w:rPr>
        <w:t xml:space="preserve"> eller </w:t>
      </w:r>
      <w:hyperlink r:id="rId17" w:history="1">
        <w:r w:rsidRPr="006F15EF">
          <w:rPr>
            <w:rFonts w:ascii="Arial" w:eastAsia="Times New Roman" w:hAnsi="Arial" w:cs="Times New Roman"/>
            <w:color w:val="0000FF"/>
            <w:u w:val="single"/>
          </w:rPr>
          <w:t>MGM@helse-bergen.no</w:t>
        </w:r>
      </w:hyperlink>
      <w:r w:rsidRPr="006F15EF">
        <w:rPr>
          <w:rFonts w:ascii="Arial" w:eastAsia="Times New Roman" w:hAnsi="Arial" w:cs="Arial"/>
        </w:rPr>
        <w:t xml:space="preserve">                                                                              Tel 55 97 54 75   Faks 55 97 54 79</w:t>
      </w:r>
    </w:p>
    <w:p w14:paraId="4AE3535A" w14:textId="6F254BC9" w:rsidR="006F15EF" w:rsidRPr="006F15EF" w:rsidRDefault="006F15EF" w:rsidP="006F15EF">
      <w:pPr>
        <w:widowControl w:val="0"/>
        <w:spacing w:after="0" w:line="240" w:lineRule="auto"/>
        <w:rPr>
          <w:rFonts w:ascii="Arial" w:eastAsia="Times New Roman" w:hAnsi="Arial" w:cs="Arial"/>
        </w:rPr>
      </w:pPr>
      <w:r w:rsidRPr="006F15EF">
        <w:rPr>
          <w:rFonts w:ascii="Arial" w:eastAsia="Times New Roman" w:hAnsi="Arial" w:cs="Arial"/>
          <w:i/>
          <w:iCs/>
        </w:rPr>
        <w:t xml:space="preserve">Kvantitativ PCR og mutasjonsanalyse:  </w:t>
      </w:r>
      <w:r w:rsidR="000221A6">
        <w:rPr>
          <w:rFonts w:ascii="Arial" w:eastAsia="Times New Roman" w:hAnsi="Arial" w:cs="Arial"/>
        </w:rPr>
        <w:t>10</w:t>
      </w:r>
      <w:r w:rsidRPr="006F15EF">
        <w:rPr>
          <w:rFonts w:ascii="Arial" w:eastAsia="Times New Roman" w:hAnsi="Arial" w:cs="Arial"/>
        </w:rPr>
        <w:t xml:space="preserve"> mL EDTA-blod sendes til:  </w:t>
      </w:r>
    </w:p>
    <w:p w14:paraId="0E017DD6" w14:textId="04D956CF" w:rsidR="006F15EF" w:rsidRPr="006F15EF" w:rsidRDefault="006F15EF" w:rsidP="006F15EF">
      <w:pPr>
        <w:widowControl w:val="0"/>
        <w:spacing w:after="0" w:line="240" w:lineRule="auto"/>
        <w:rPr>
          <w:rFonts w:ascii="Arial" w:eastAsia="Times New Roman" w:hAnsi="Arial" w:cs="Arial"/>
        </w:rPr>
      </w:pPr>
      <w:r w:rsidRPr="00153DDF">
        <w:rPr>
          <w:rFonts w:ascii="Arial" w:eastAsia="Times New Roman" w:hAnsi="Arial" w:cs="Arial"/>
          <w:u w:val="single"/>
        </w:rPr>
        <w:t>OUS-</w:t>
      </w:r>
      <w:r w:rsidRPr="001B341D">
        <w:rPr>
          <w:rFonts w:ascii="Arial" w:eastAsia="Times New Roman" w:hAnsi="Arial" w:cs="Arial"/>
          <w:u w:val="single"/>
        </w:rPr>
        <w:t xml:space="preserve">Gaustad, Avdeling for Patologi                                                                                                             </w:t>
      </w:r>
      <w:r w:rsidRPr="006F15EF">
        <w:rPr>
          <w:rFonts w:ascii="Arial" w:eastAsia="Times New Roman" w:hAnsi="Arial" w:cs="Arial"/>
        </w:rPr>
        <w:t xml:space="preserve">Laboratorium for molekylærpatologi                                                                                                                       PB 124 Blindern 0314 Oslo                                                                                                                                                                      Telefon: 23 07 87 82    </w:t>
      </w:r>
      <w:hyperlink r:id="rId18" w:history="1">
        <w:r w:rsidRPr="006F15EF">
          <w:rPr>
            <w:rFonts w:ascii="Arial" w:eastAsia="Times New Roman" w:hAnsi="Arial" w:cs="Times New Roman"/>
            <w:color w:val="0000FF"/>
            <w:u w:val="single"/>
          </w:rPr>
          <w:t>www.molpat.no</w:t>
        </w:r>
      </w:hyperlink>
      <w:r w:rsidRPr="006F15EF">
        <w:rPr>
          <w:rFonts w:ascii="Arial" w:eastAsia="Times New Roman" w:hAnsi="Arial" w:cs="Arial"/>
        </w:rPr>
        <w:t xml:space="preserve">                                                                                                                                    e-post: </w:t>
      </w:r>
      <w:hyperlink r:id="rId19" w:history="1">
        <w:r w:rsidR="00DF0889">
          <w:rPr>
            <w:rFonts w:ascii="Arial" w:eastAsia="Times New Roman" w:hAnsi="Arial" w:cs="Times New Roman"/>
            <w:color w:val="0000FF"/>
            <w:u w:val="single"/>
          </w:rPr>
          <w:t>signe.spetalen</w:t>
        </w:r>
        <w:r w:rsidR="00DF0889" w:rsidRPr="006F15EF">
          <w:rPr>
            <w:rFonts w:ascii="Arial" w:eastAsia="Times New Roman" w:hAnsi="Arial" w:cs="Times New Roman"/>
            <w:color w:val="0000FF"/>
            <w:u w:val="single"/>
          </w:rPr>
          <w:t>@ous-hf.no</w:t>
        </w:r>
      </w:hyperlink>
      <w:r w:rsidR="0059051E" w:rsidRPr="006F15EF" w:rsidDel="0059051E">
        <w:rPr>
          <w:rFonts w:ascii="Arial" w:eastAsia="Times New Roman" w:hAnsi="Arial" w:cs="Arial"/>
        </w:rPr>
        <w:t xml:space="preserve"> </w:t>
      </w:r>
    </w:p>
    <w:p w14:paraId="6A4541EC" w14:textId="4DD21113" w:rsidR="006F15EF" w:rsidRDefault="006F15EF" w:rsidP="00A1775A">
      <w:pPr>
        <w:widowControl w:val="0"/>
        <w:spacing w:after="0" w:line="240" w:lineRule="auto"/>
        <w:rPr>
          <w:rFonts w:ascii="Arial" w:eastAsia="Times New Roman" w:hAnsi="Arial" w:cs="Arial"/>
          <w:sz w:val="24"/>
          <w:szCs w:val="24"/>
        </w:rPr>
      </w:pPr>
    </w:p>
    <w:p w14:paraId="25E1B562" w14:textId="77777777" w:rsidR="000221A6" w:rsidRDefault="000221A6" w:rsidP="000221A6">
      <w:pPr>
        <w:widowControl w:val="0"/>
        <w:spacing w:after="0" w:line="240" w:lineRule="auto"/>
        <w:rPr>
          <w:rFonts w:ascii="Arial" w:eastAsia="Times New Roman" w:hAnsi="Arial" w:cs="Arial"/>
        </w:rPr>
      </w:pPr>
      <w:r w:rsidRPr="00092481">
        <w:rPr>
          <w:rFonts w:ascii="Arial" w:eastAsia="Times New Roman" w:hAnsi="Arial" w:cs="Arial"/>
          <w:u w:val="single"/>
        </w:rPr>
        <w:t xml:space="preserve">Senter for medisinsk genetikk </w:t>
      </w:r>
      <w:r w:rsidRPr="00726FF0">
        <w:rPr>
          <w:rFonts w:ascii="Arial" w:eastAsia="Times New Roman" w:hAnsi="Arial" w:cs="Arial"/>
          <w:u w:val="single"/>
        </w:rPr>
        <w:t>og molekylærmedisin</w:t>
      </w:r>
      <w:r>
        <w:rPr>
          <w:rFonts w:ascii="Arial" w:eastAsia="Times New Roman" w:hAnsi="Arial" w:cs="Arial"/>
        </w:rPr>
        <w:t>, Hau</w:t>
      </w:r>
      <w:r w:rsidRPr="006F15EF">
        <w:rPr>
          <w:rFonts w:ascii="Arial" w:eastAsia="Times New Roman" w:hAnsi="Arial" w:cs="Arial"/>
        </w:rPr>
        <w:t xml:space="preserve">keland Universitetssykehus, 5021 Bergen                                                                                                    </w:t>
      </w:r>
    </w:p>
    <w:p w14:paraId="0EE5EDD5" w14:textId="5EF8427F" w:rsidR="000221A6" w:rsidRPr="006F15EF" w:rsidRDefault="000221A6" w:rsidP="000221A6">
      <w:pPr>
        <w:widowControl w:val="0"/>
        <w:spacing w:after="0" w:line="240" w:lineRule="auto"/>
        <w:rPr>
          <w:rFonts w:ascii="Arial" w:eastAsia="Times New Roman" w:hAnsi="Arial" w:cs="Arial"/>
          <w:sz w:val="24"/>
          <w:szCs w:val="24"/>
        </w:rPr>
      </w:pPr>
      <w:r w:rsidRPr="006F15EF">
        <w:rPr>
          <w:rFonts w:ascii="Arial" w:eastAsia="Times New Roman" w:hAnsi="Arial" w:cs="Arial"/>
        </w:rPr>
        <w:t xml:space="preserve">e-post: </w:t>
      </w:r>
      <w:hyperlink r:id="rId20" w:history="1">
        <w:r w:rsidRPr="006F15EF">
          <w:rPr>
            <w:rFonts w:ascii="Arial" w:eastAsia="Times New Roman" w:hAnsi="Arial" w:cs="Times New Roman"/>
            <w:color w:val="0000FF"/>
            <w:u w:val="single"/>
          </w:rPr>
          <w:t>rhov@haukeland.no</w:t>
        </w:r>
      </w:hyperlink>
      <w:r w:rsidRPr="006F15EF">
        <w:rPr>
          <w:rFonts w:ascii="Arial" w:eastAsia="Times New Roman" w:hAnsi="Arial" w:cs="Arial"/>
        </w:rPr>
        <w:t xml:space="preserve"> eller </w:t>
      </w:r>
      <w:hyperlink r:id="rId21" w:history="1">
        <w:r w:rsidRPr="006F15EF">
          <w:rPr>
            <w:rFonts w:ascii="Arial" w:eastAsia="Times New Roman" w:hAnsi="Arial" w:cs="Times New Roman"/>
            <w:color w:val="0000FF"/>
            <w:u w:val="single"/>
          </w:rPr>
          <w:t>MGM@helse-bergen.no</w:t>
        </w:r>
      </w:hyperlink>
    </w:p>
    <w:p w14:paraId="7DFEEA00"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3763F816"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11314806" w14:textId="77777777" w:rsidR="006F15EF" w:rsidRPr="006F15EF" w:rsidRDefault="006F15EF" w:rsidP="006F15EF">
      <w:pPr>
        <w:keepNext/>
        <w:widowControl w:val="0"/>
        <w:numPr>
          <w:ilvl w:val="1"/>
          <w:numId w:val="1"/>
        </w:numPr>
        <w:tabs>
          <w:tab w:val="left" w:pos="1620"/>
        </w:tabs>
        <w:spacing w:before="220" w:after="200" w:line="240" w:lineRule="auto"/>
        <w:ind w:left="1080"/>
        <w:outlineLvl w:val="1"/>
        <w:rPr>
          <w:rFonts w:ascii="Arial" w:eastAsia="Times New Roman" w:hAnsi="Arial" w:cs="Arial"/>
          <w:b/>
          <w:bCs/>
          <w:color w:val="000000"/>
          <w:sz w:val="24"/>
          <w:szCs w:val="24"/>
        </w:rPr>
      </w:pPr>
      <w:bookmarkStart w:id="62" w:name="_Toc438470543"/>
      <w:bookmarkStart w:id="63" w:name="_Hlk63016993"/>
      <w:r w:rsidRPr="006F15EF">
        <w:rPr>
          <w:rFonts w:ascii="Arial" w:eastAsia="Times New Roman" w:hAnsi="Arial" w:cs="Arial"/>
          <w:b/>
          <w:bCs/>
          <w:color w:val="000000"/>
          <w:sz w:val="24"/>
          <w:szCs w:val="24"/>
        </w:rPr>
        <w:t>Referanser</w:t>
      </w:r>
      <w:bookmarkEnd w:id="62"/>
    </w:p>
    <w:p w14:paraId="2AA4D477" w14:textId="77777777" w:rsidR="006F15EF" w:rsidRPr="006F15EF" w:rsidRDefault="006F15EF" w:rsidP="006F15EF">
      <w:pPr>
        <w:widowControl w:val="0"/>
        <w:spacing w:after="0" w:line="240" w:lineRule="auto"/>
        <w:ind w:left="567"/>
        <w:rPr>
          <w:rFonts w:ascii="Arial" w:eastAsia="Times New Roman" w:hAnsi="Arial" w:cs="Arial"/>
          <w:sz w:val="24"/>
          <w:szCs w:val="24"/>
        </w:rPr>
      </w:pPr>
    </w:p>
    <w:p w14:paraId="10779B3F"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da-DK"/>
        </w:rPr>
      </w:pPr>
      <w:r w:rsidRPr="00F9310E">
        <w:rPr>
          <w:rFonts w:ascii="Arial" w:eastAsia="Times New Roman" w:hAnsi="Arial" w:cs="Arial"/>
          <w:noProof/>
          <w:sz w:val="24"/>
          <w:szCs w:val="24"/>
        </w:rPr>
        <w:tab/>
        <w:t xml:space="preserve">1. </w:t>
      </w:r>
      <w:commentRangeStart w:id="64"/>
      <w:r w:rsidRPr="00F9310E">
        <w:rPr>
          <w:rFonts w:ascii="Arial" w:eastAsia="Times New Roman" w:hAnsi="Arial" w:cs="Arial"/>
          <w:noProof/>
          <w:sz w:val="24"/>
          <w:szCs w:val="24"/>
        </w:rPr>
        <w:tab/>
        <w:t xml:space="preserve">Baccarani M, Cortes J, Pane F, Niederwieser D, Saglio G, Apperley J, et al. </w:t>
      </w:r>
      <w:r w:rsidRPr="006F15EF">
        <w:rPr>
          <w:rFonts w:ascii="Arial" w:eastAsia="Times New Roman" w:hAnsi="Arial" w:cs="Arial"/>
          <w:noProof/>
          <w:sz w:val="24"/>
          <w:szCs w:val="24"/>
          <w:lang w:val="en-US"/>
        </w:rPr>
        <w:t>Chronic myeloid leukemia: an update of concepts and management recommendations of European LeukemiaNet. J Clin Oncol 2009;27(35):6041-51.</w:t>
      </w:r>
      <w:commentRangeEnd w:id="64"/>
      <w:r w:rsidR="00070CA3">
        <w:rPr>
          <w:rStyle w:val="CommentReference"/>
        </w:rPr>
        <w:commentReference w:id="64"/>
      </w:r>
    </w:p>
    <w:p w14:paraId="578B7456" w14:textId="77777777" w:rsidR="006F15EF" w:rsidRPr="00153DD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da-DK"/>
        </w:rPr>
        <w:tab/>
        <w:t xml:space="preserve">2. </w:t>
      </w:r>
      <w:r w:rsidRPr="006F15EF">
        <w:rPr>
          <w:rFonts w:ascii="Arial" w:eastAsia="Times New Roman" w:hAnsi="Arial" w:cs="Arial"/>
          <w:noProof/>
          <w:sz w:val="24"/>
          <w:szCs w:val="24"/>
          <w:lang w:val="da-DK"/>
        </w:rPr>
        <w:tab/>
      </w:r>
      <w:r w:rsidRPr="006F15EF">
        <w:rPr>
          <w:rFonts w:ascii="Arial" w:eastAsia="Times New Roman" w:hAnsi="Arial" w:cs="Arial"/>
          <w:noProof/>
          <w:sz w:val="24"/>
          <w:szCs w:val="24"/>
          <w:lang w:val="en-US"/>
        </w:rPr>
        <w:t xml:space="preserve">Baccarani M, Deininger MW, Rosti G, Hochhaus A, Soverini S, Apperley JF, et al. European LeukemiaNet recommendations for the management of chronic myeloid leukemia: 2013. </w:t>
      </w:r>
      <w:r w:rsidRPr="00153DDF">
        <w:rPr>
          <w:rFonts w:ascii="Arial" w:eastAsia="Times New Roman" w:hAnsi="Arial" w:cs="Arial"/>
          <w:noProof/>
          <w:sz w:val="24"/>
          <w:szCs w:val="24"/>
          <w:lang w:val="en-US"/>
        </w:rPr>
        <w:t>Blood 2013;122(6):872-84.</w:t>
      </w:r>
    </w:p>
    <w:p w14:paraId="1BFAE6C7"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rPr>
      </w:pPr>
      <w:r w:rsidRPr="00153DDF">
        <w:rPr>
          <w:rFonts w:ascii="Arial" w:eastAsia="Times New Roman" w:hAnsi="Arial" w:cs="Arial"/>
          <w:noProof/>
          <w:sz w:val="24"/>
          <w:szCs w:val="24"/>
          <w:lang w:val="en-US"/>
        </w:rPr>
        <w:tab/>
        <w:t xml:space="preserve">3. </w:t>
      </w:r>
      <w:r w:rsidRPr="00153DDF">
        <w:rPr>
          <w:rFonts w:ascii="Arial" w:eastAsia="Times New Roman" w:hAnsi="Arial" w:cs="Arial"/>
          <w:noProof/>
          <w:sz w:val="24"/>
          <w:szCs w:val="24"/>
          <w:lang w:val="en-US"/>
        </w:rPr>
        <w:tab/>
      </w:r>
      <w:r w:rsidRPr="006F15EF">
        <w:rPr>
          <w:rFonts w:ascii="Arial" w:eastAsia="Times New Roman" w:hAnsi="Arial" w:cs="Arial"/>
          <w:noProof/>
          <w:sz w:val="24"/>
          <w:szCs w:val="24"/>
        </w:rPr>
        <w:t>Evensen SA, Brinch L, Tjønnfjord GE, Wi</w:t>
      </w:r>
      <w:commentRangeStart w:id="65"/>
      <w:r w:rsidRPr="006F15EF">
        <w:rPr>
          <w:rFonts w:ascii="Arial" w:eastAsia="Times New Roman" w:hAnsi="Arial" w:cs="Arial"/>
          <w:noProof/>
          <w:sz w:val="24"/>
          <w:szCs w:val="24"/>
        </w:rPr>
        <w:t>sløff F. Blodsykdommer. 5 utg. Oslo: Universitetsforlaget; 1999.</w:t>
      </w:r>
      <w:commentRangeEnd w:id="65"/>
      <w:r w:rsidR="00070CA3">
        <w:rPr>
          <w:rStyle w:val="CommentReference"/>
        </w:rPr>
        <w:commentReference w:id="65"/>
      </w:r>
    </w:p>
    <w:p w14:paraId="03742A7A"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rPr>
        <w:tab/>
        <w:t xml:space="preserve">4. </w:t>
      </w:r>
      <w:r w:rsidRPr="006F15EF">
        <w:rPr>
          <w:rFonts w:ascii="Arial" w:eastAsia="Times New Roman" w:hAnsi="Arial" w:cs="Arial"/>
          <w:noProof/>
          <w:sz w:val="24"/>
          <w:szCs w:val="24"/>
        </w:rPr>
        <w:tab/>
        <w:t xml:space="preserve">Hochhaus A, O'Brien SG, Guilhot F, Druker BJ, Branford S, Foroni L, et al. </w:t>
      </w:r>
      <w:r w:rsidRPr="006F15EF">
        <w:rPr>
          <w:rFonts w:ascii="Arial" w:eastAsia="Times New Roman" w:hAnsi="Arial" w:cs="Arial"/>
          <w:noProof/>
          <w:sz w:val="24"/>
          <w:szCs w:val="24"/>
          <w:lang w:val="en-US"/>
        </w:rPr>
        <w:t xml:space="preserve">Six-year </w:t>
      </w:r>
      <w:r w:rsidRPr="006F15EF">
        <w:rPr>
          <w:rFonts w:ascii="Arial" w:eastAsia="Times New Roman" w:hAnsi="Arial" w:cs="Arial"/>
          <w:noProof/>
          <w:sz w:val="24"/>
          <w:szCs w:val="24"/>
          <w:lang w:val="en-US"/>
        </w:rPr>
        <w:lastRenderedPageBreak/>
        <w:t>follow-up of patients receiving imatinib for the first-line treatment of chronic myeloid leukemia. Leukemia 2009;23(6):1054-61.</w:t>
      </w:r>
    </w:p>
    <w:p w14:paraId="1A8E370E"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en-US"/>
        </w:rPr>
        <w:tab/>
        <w:t xml:space="preserve">5. </w:t>
      </w:r>
      <w:r w:rsidRPr="006F15EF">
        <w:rPr>
          <w:rFonts w:ascii="Arial" w:eastAsia="Times New Roman" w:hAnsi="Arial" w:cs="Arial"/>
          <w:noProof/>
          <w:sz w:val="24"/>
          <w:szCs w:val="24"/>
          <w:lang w:val="en-US"/>
        </w:rPr>
        <w:tab/>
        <w:t>Hughes T, Deininger M, Hochhaus A, Branford S, Radich J, Kaeda J, et al. Monitoring CML patients responding to treatment with tyrosine kinase inhibitors: Review and recommendations for harmonizing current methodology for detecting BCR-ABL transcripts and kinase domain mutations and for expressing results. Blood 2006;108(1):28-37.</w:t>
      </w:r>
    </w:p>
    <w:p w14:paraId="5CE2D86B"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en-US"/>
        </w:rPr>
        <w:tab/>
        <w:t xml:space="preserve">6. </w:t>
      </w:r>
      <w:r w:rsidRPr="006F15EF">
        <w:rPr>
          <w:rFonts w:ascii="Arial" w:eastAsia="Times New Roman" w:hAnsi="Arial" w:cs="Arial"/>
          <w:noProof/>
          <w:sz w:val="24"/>
          <w:szCs w:val="24"/>
          <w:lang w:val="en-US"/>
        </w:rPr>
        <w:tab/>
        <w:t>Hughes TP, Hochhaus A, Branford S, Muller MC, Kaeda JS, Foroni L, et al. Long-term prognostic significance of early molecular response to imatinib in newly diagnosed chronic myeloid leukemia: An analysis from the International Randomized Study of Interferon and STI571 (IRIS). Blood 2010;116(19):3758-65.</w:t>
      </w:r>
    </w:p>
    <w:p w14:paraId="059573E4"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en-US"/>
        </w:rPr>
        <w:tab/>
        <w:t xml:space="preserve">7. </w:t>
      </w:r>
      <w:r w:rsidRPr="006F15EF">
        <w:rPr>
          <w:rFonts w:ascii="Arial" w:eastAsia="Times New Roman" w:hAnsi="Arial" w:cs="Arial"/>
          <w:noProof/>
          <w:sz w:val="24"/>
          <w:szCs w:val="24"/>
          <w:lang w:val="en-US"/>
        </w:rPr>
        <w:tab/>
      </w:r>
      <w:r w:rsidRPr="00153DDF">
        <w:rPr>
          <w:rFonts w:ascii="Arial" w:eastAsia="Times New Roman" w:hAnsi="Arial" w:cs="Arial"/>
          <w:noProof/>
          <w:sz w:val="24"/>
          <w:szCs w:val="24"/>
          <w:lang w:val="de-DE"/>
        </w:rPr>
        <w:t xml:space="preserve">Fabarius A, Leitner A, Hochhaus A, Muller MC, Hanfstein B, Haferlach C, et al. </w:t>
      </w:r>
      <w:r w:rsidRPr="006F15EF">
        <w:rPr>
          <w:rFonts w:ascii="Arial" w:eastAsia="Times New Roman" w:hAnsi="Arial" w:cs="Arial"/>
          <w:noProof/>
          <w:sz w:val="24"/>
          <w:szCs w:val="24"/>
          <w:lang w:val="en-US"/>
        </w:rPr>
        <w:t>Impact of additional cytogenetic aberrations at diagnosis on prognosis of CML: long-term observation of 1151 patients from the randomized CML Study IV. Blood 2011;118(26):6760-8.</w:t>
      </w:r>
    </w:p>
    <w:p w14:paraId="518B9E56"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en-US"/>
        </w:rPr>
        <w:tab/>
        <w:t xml:space="preserve">8. </w:t>
      </w:r>
      <w:r w:rsidRPr="006F15EF">
        <w:rPr>
          <w:rFonts w:ascii="Arial" w:eastAsia="Times New Roman" w:hAnsi="Arial" w:cs="Arial"/>
          <w:noProof/>
          <w:sz w:val="24"/>
          <w:szCs w:val="24"/>
          <w:lang w:val="en-US"/>
        </w:rPr>
        <w:tab/>
        <w:t>Mahon F-X, Rea D, Guilhot J, Guilhot F, Huguet F, Nicolini F, et al. Discontinuation of imatinib in patients with chronic myeloid leukaemia who have maintained complete molecular remission for at least 2 years: the prospective, multicentre Stop Imatinib (STIM) trial. Lancet Oncol 2010;11(11):1029-35.</w:t>
      </w:r>
    </w:p>
    <w:p w14:paraId="74461F08"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en-US"/>
        </w:rPr>
        <w:tab/>
        <w:t xml:space="preserve">9. </w:t>
      </w:r>
      <w:r w:rsidRPr="006F15EF">
        <w:rPr>
          <w:rFonts w:ascii="Arial" w:eastAsia="Times New Roman" w:hAnsi="Arial" w:cs="Arial"/>
          <w:noProof/>
          <w:sz w:val="24"/>
          <w:szCs w:val="24"/>
          <w:lang w:val="en-US"/>
        </w:rPr>
        <w:tab/>
        <w:t>de Lavallade H, Apperley JF, Khorashad JS, Milojkovic D, Reid AG, Bua M, et al. Imatinib for newly diagnosed patients with chronic myeloid leukemia: incidence of sustained responses in an intention-to-treat analysis. J Clin Oncol 2008;26(20):3358-63.</w:t>
      </w:r>
    </w:p>
    <w:p w14:paraId="41217549"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en-US"/>
        </w:rPr>
        <w:tab/>
        <w:t xml:space="preserve">10. </w:t>
      </w:r>
      <w:r w:rsidRPr="006F15EF">
        <w:rPr>
          <w:rFonts w:ascii="Arial" w:eastAsia="Times New Roman" w:hAnsi="Arial" w:cs="Arial"/>
          <w:noProof/>
          <w:sz w:val="24"/>
          <w:szCs w:val="24"/>
          <w:lang w:val="en-US"/>
        </w:rPr>
        <w:tab/>
        <w:t>Kantarjian HM, Shah NP, Cortes JE, Baccarani M, Agarwal MB, Undurraga MS, et al. Dasatinib or imatinib in newly diagnosed chronic-phase chronic myeloid leukemia: 2-year follow-up from a randomized phase 3 trial (DASISION). Blood 2012;119(5):1123-9.</w:t>
      </w:r>
    </w:p>
    <w:p w14:paraId="3B9D4344" w14:textId="77777777" w:rsidR="006F15EF" w:rsidRPr="00153DD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color w:val="000000"/>
          <w:sz w:val="24"/>
          <w:szCs w:val="24"/>
          <w:lang w:val="en-US"/>
        </w:rPr>
        <w:tab/>
        <w:t xml:space="preserve">11. </w:t>
      </w:r>
      <w:r w:rsidRPr="006F15EF">
        <w:rPr>
          <w:rFonts w:ascii="Arial" w:eastAsia="Times New Roman" w:hAnsi="Arial" w:cs="Arial"/>
          <w:noProof/>
          <w:color w:val="000000"/>
          <w:sz w:val="24"/>
          <w:szCs w:val="24"/>
          <w:lang w:val="en-US"/>
        </w:rPr>
        <w:tab/>
      </w:r>
      <w:r w:rsidRPr="006F15EF">
        <w:rPr>
          <w:rFonts w:ascii="Arial" w:eastAsia="Times New Roman" w:hAnsi="Arial" w:cs="Arial"/>
          <w:noProof/>
          <w:sz w:val="24"/>
          <w:szCs w:val="24"/>
          <w:lang w:val="en-US"/>
        </w:rPr>
        <w:t xml:space="preserve">Larson RA, Hochhaus A, Hughes TP, Clark RE, Etienne G, Kim DW, et al. Nilotinib vs imatinib in patients with newly diagnosed Philadelphia chromosome-positive chronic myeloid leukemia in chronic phase: ENESTnd 3-year follow-up. </w:t>
      </w:r>
      <w:r w:rsidRPr="00153DDF">
        <w:rPr>
          <w:rFonts w:ascii="Arial" w:eastAsia="Times New Roman" w:hAnsi="Arial" w:cs="Arial"/>
          <w:noProof/>
          <w:sz w:val="24"/>
          <w:szCs w:val="24"/>
          <w:lang w:val="en-US"/>
        </w:rPr>
        <w:t>Leukemia 2012;26(10):2197-203.</w:t>
      </w:r>
    </w:p>
    <w:p w14:paraId="1B2A6810"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153DDF">
        <w:rPr>
          <w:rFonts w:ascii="Arial" w:eastAsia="Times New Roman" w:hAnsi="Arial" w:cs="Arial"/>
          <w:noProof/>
          <w:sz w:val="24"/>
          <w:szCs w:val="24"/>
          <w:lang w:val="en-US"/>
        </w:rPr>
        <w:tab/>
        <w:t xml:space="preserve">12. </w:t>
      </w:r>
      <w:r w:rsidRPr="00153DDF">
        <w:rPr>
          <w:rFonts w:ascii="Arial" w:eastAsia="Times New Roman" w:hAnsi="Arial" w:cs="Arial"/>
          <w:noProof/>
          <w:sz w:val="24"/>
          <w:szCs w:val="24"/>
          <w:lang w:val="en-US"/>
        </w:rPr>
        <w:tab/>
        <w:t xml:space="preserve">Marin D, Bazeos A, Mahon FX, Eliasson L, Milojkovic D, Bua M, et al. </w:t>
      </w:r>
      <w:r w:rsidRPr="006F15EF">
        <w:rPr>
          <w:rFonts w:ascii="Arial" w:eastAsia="Times New Roman" w:hAnsi="Arial" w:cs="Arial"/>
          <w:noProof/>
          <w:sz w:val="24"/>
          <w:szCs w:val="24"/>
          <w:lang w:val="en-US"/>
        </w:rPr>
        <w:t>Adherence is the critical factor for achieving molecular responses in patients with chronic myeloid leukemia who achieve complete cytogenetic responses on imatinib. J Clin Oncol 2010;28(14):2381-8.</w:t>
      </w:r>
    </w:p>
    <w:p w14:paraId="44E6F7EB"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da-DK"/>
        </w:rPr>
        <w:tab/>
        <w:t xml:space="preserve">13. </w:t>
      </w:r>
      <w:r w:rsidRPr="006F15EF">
        <w:rPr>
          <w:rFonts w:ascii="Arial" w:eastAsia="Times New Roman" w:hAnsi="Arial" w:cs="Arial"/>
          <w:noProof/>
          <w:sz w:val="24"/>
          <w:szCs w:val="24"/>
          <w:lang w:val="da-DK"/>
        </w:rPr>
        <w:tab/>
      </w:r>
      <w:r w:rsidRPr="006F15EF">
        <w:rPr>
          <w:rFonts w:ascii="Arial" w:eastAsia="Times New Roman" w:hAnsi="Arial" w:cs="Arial"/>
          <w:noProof/>
          <w:sz w:val="24"/>
          <w:szCs w:val="24"/>
          <w:lang w:val="en-US"/>
        </w:rPr>
        <w:t>Apperley JF. Part I: Mechanisms of resistance to imatinib in chronic myeloid leukaemia. Lancet Oncol 2007;8(11):1018-29.</w:t>
      </w:r>
    </w:p>
    <w:p w14:paraId="6BC1BE7F"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en-US"/>
        </w:rPr>
        <w:tab/>
        <w:t xml:space="preserve">14. </w:t>
      </w:r>
      <w:r w:rsidRPr="006F15EF">
        <w:rPr>
          <w:rFonts w:ascii="Arial" w:eastAsia="Times New Roman" w:hAnsi="Arial" w:cs="Arial"/>
          <w:noProof/>
          <w:sz w:val="24"/>
          <w:szCs w:val="24"/>
          <w:lang w:val="en-US"/>
        </w:rPr>
        <w:tab/>
        <w:t xml:space="preserve">Soverini S, Hochhaus A, Nicolini FE, Gruber F, Lange T, Saglio G, et al. BCR-ABL </w:t>
      </w:r>
      <w:r w:rsidRPr="006F15EF">
        <w:rPr>
          <w:rFonts w:ascii="Arial" w:eastAsia="Times New Roman" w:hAnsi="Arial" w:cs="Arial"/>
          <w:noProof/>
          <w:sz w:val="24"/>
          <w:szCs w:val="24"/>
          <w:lang w:val="en-US"/>
        </w:rPr>
        <w:lastRenderedPageBreak/>
        <w:t>kinase domain mutation analysis in chronic myeloid leukemia patients treated with tyrosine kinase inhibitors: recommendations from an expert panel on behalf of European LeukemiaNet. Blood 2011;118(5):1208-15.</w:t>
      </w:r>
    </w:p>
    <w:p w14:paraId="02B5FCF6"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sv-SE"/>
        </w:rPr>
      </w:pPr>
      <w:r w:rsidRPr="006F15EF">
        <w:rPr>
          <w:rFonts w:ascii="Arial" w:eastAsia="Times New Roman" w:hAnsi="Arial" w:cs="Arial"/>
          <w:noProof/>
          <w:sz w:val="24"/>
          <w:szCs w:val="24"/>
          <w:lang w:val="en-US"/>
        </w:rPr>
        <w:tab/>
        <w:t xml:space="preserve">15. </w:t>
      </w:r>
      <w:r w:rsidRPr="006F15EF">
        <w:rPr>
          <w:rFonts w:ascii="Arial" w:eastAsia="Times New Roman" w:hAnsi="Arial" w:cs="Arial"/>
          <w:noProof/>
          <w:sz w:val="24"/>
          <w:szCs w:val="24"/>
          <w:lang w:val="en-US"/>
        </w:rPr>
        <w:tab/>
        <w:t xml:space="preserve">Cortes JE, Kantarjian H, Shah NP, Bixby D, </w:t>
      </w:r>
      <w:commentRangeStart w:id="66"/>
      <w:r w:rsidRPr="006F15EF">
        <w:rPr>
          <w:rFonts w:ascii="Arial" w:eastAsia="Times New Roman" w:hAnsi="Arial" w:cs="Arial"/>
          <w:noProof/>
          <w:sz w:val="24"/>
          <w:szCs w:val="24"/>
          <w:lang w:val="en-US"/>
        </w:rPr>
        <w:t xml:space="preserve">Mauro MJ, Flinn I, et al. Ponatinib in refractory Philadelphia chromosome-positive leukemias. </w:t>
      </w:r>
      <w:r w:rsidRPr="00153DDF">
        <w:rPr>
          <w:rFonts w:ascii="Arial" w:eastAsia="Times New Roman" w:hAnsi="Arial" w:cs="Arial"/>
          <w:noProof/>
          <w:sz w:val="24"/>
          <w:szCs w:val="24"/>
        </w:rPr>
        <w:t>N Engl J Med 2012;367(22):2075-88.</w:t>
      </w:r>
      <w:commentRangeEnd w:id="66"/>
      <w:r w:rsidR="00070CA3">
        <w:rPr>
          <w:rStyle w:val="CommentReference"/>
        </w:rPr>
        <w:commentReference w:id="66"/>
      </w:r>
    </w:p>
    <w:p w14:paraId="1AB60F5C"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sv-SE"/>
        </w:rPr>
        <w:tab/>
        <w:t xml:space="preserve">16. </w:t>
      </w:r>
      <w:r w:rsidRPr="006F15EF">
        <w:rPr>
          <w:rFonts w:ascii="Arial" w:eastAsia="Times New Roman" w:hAnsi="Arial" w:cs="Arial"/>
          <w:noProof/>
          <w:sz w:val="24"/>
          <w:szCs w:val="24"/>
          <w:lang w:val="sv-SE"/>
        </w:rPr>
        <w:tab/>
      </w:r>
      <w:commentRangeStart w:id="67"/>
      <w:r w:rsidRPr="006F15EF">
        <w:rPr>
          <w:rFonts w:ascii="Arial" w:eastAsia="Times New Roman" w:hAnsi="Arial" w:cs="Arial"/>
          <w:noProof/>
          <w:sz w:val="24"/>
          <w:szCs w:val="24"/>
        </w:rPr>
        <w:t xml:space="preserve">Deininger MW, O'Brien SG, Ford JM, Druker BJ. </w:t>
      </w:r>
      <w:r w:rsidRPr="006F15EF">
        <w:rPr>
          <w:rFonts w:ascii="Arial" w:eastAsia="Times New Roman" w:hAnsi="Arial" w:cs="Arial"/>
          <w:noProof/>
          <w:sz w:val="24"/>
          <w:szCs w:val="24"/>
          <w:lang w:val="en-US"/>
        </w:rPr>
        <w:t>Practical management of patients with chronic myeloid leukemia receiving imatinib. J Clin Oncol 2003;21(8):1637-47.</w:t>
      </w:r>
    </w:p>
    <w:p w14:paraId="5577F36C"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da-DK"/>
        </w:rPr>
      </w:pPr>
      <w:r w:rsidRPr="006F15EF">
        <w:rPr>
          <w:rFonts w:ascii="Arial" w:eastAsia="Times New Roman" w:hAnsi="Arial" w:cs="Arial"/>
          <w:noProof/>
          <w:sz w:val="24"/>
          <w:szCs w:val="24"/>
          <w:lang w:val="en-US"/>
        </w:rPr>
        <w:tab/>
        <w:t xml:space="preserve">17. </w:t>
      </w:r>
      <w:r w:rsidRPr="006F15EF">
        <w:rPr>
          <w:rFonts w:ascii="Arial" w:eastAsia="Times New Roman" w:hAnsi="Arial" w:cs="Arial"/>
          <w:noProof/>
          <w:sz w:val="24"/>
          <w:szCs w:val="24"/>
          <w:lang w:val="en-US"/>
        </w:rPr>
        <w:tab/>
        <w:t>Mauro MJ, Deininger MW. Management of Drug Toxicities in Chronic Myeloid Leukaemia. Best Pract Res Clin Haematol 2009;22(3):409-29.</w:t>
      </w:r>
      <w:commentRangeEnd w:id="67"/>
      <w:r w:rsidR="00070CA3">
        <w:rPr>
          <w:rStyle w:val="CommentReference"/>
        </w:rPr>
        <w:commentReference w:id="67"/>
      </w:r>
    </w:p>
    <w:p w14:paraId="75C24D26"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da-DK"/>
        </w:rPr>
        <w:tab/>
        <w:t xml:space="preserve">18. </w:t>
      </w:r>
      <w:r w:rsidRPr="006F15EF">
        <w:rPr>
          <w:rFonts w:ascii="Arial" w:eastAsia="Times New Roman" w:hAnsi="Arial" w:cs="Arial"/>
          <w:noProof/>
          <w:sz w:val="24"/>
          <w:szCs w:val="24"/>
          <w:lang w:val="da-DK"/>
        </w:rPr>
        <w:tab/>
      </w:r>
      <w:r w:rsidRPr="006F15EF">
        <w:rPr>
          <w:rFonts w:ascii="Arial" w:eastAsia="Times New Roman" w:hAnsi="Arial" w:cs="Arial"/>
          <w:noProof/>
          <w:sz w:val="24"/>
          <w:szCs w:val="24"/>
          <w:lang w:val="en-US"/>
        </w:rPr>
        <w:t>Cortes JE, Kim DW, Kantarjian HM, Brummendorf TH, Dyagil I, Griskevicius L, et al. Bosutinib versus imatinib in newly diagnosed chronic-phase chronic myeloid leukemia: results from the BELA trial. J Clin Oncol 2012;30(28):3486-92.</w:t>
      </w:r>
    </w:p>
    <w:p w14:paraId="3A169F9E"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en-US"/>
        </w:rPr>
        <w:tab/>
        <w:t xml:space="preserve">19. </w:t>
      </w:r>
      <w:r w:rsidRPr="006F15EF">
        <w:rPr>
          <w:rFonts w:ascii="Arial" w:eastAsia="Times New Roman" w:hAnsi="Arial" w:cs="Arial"/>
          <w:noProof/>
          <w:sz w:val="24"/>
          <w:szCs w:val="24"/>
          <w:lang w:val="en-US"/>
        </w:rPr>
        <w:tab/>
        <w:t>Milojkovic D, Nicholson E, Apperley JF, Holyoake TL, Shepherd P, Drummond MW, et al. Early prediction of success or failure of treatment with second-generation tyrosine kinase inhibitors in patients with chronic myeloid leukemia. Haematologica 2010;95(2):224-31.</w:t>
      </w:r>
    </w:p>
    <w:p w14:paraId="10F65122"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en-US"/>
        </w:rPr>
        <w:tab/>
        <w:t xml:space="preserve">20. </w:t>
      </w:r>
      <w:r w:rsidRPr="006F15EF">
        <w:rPr>
          <w:rFonts w:ascii="Arial" w:eastAsia="Times New Roman" w:hAnsi="Arial" w:cs="Arial"/>
          <w:noProof/>
          <w:sz w:val="24"/>
          <w:szCs w:val="24"/>
          <w:lang w:val="en-US"/>
        </w:rPr>
        <w:tab/>
      </w:r>
      <w:commentRangeStart w:id="68"/>
      <w:r w:rsidRPr="006F15EF">
        <w:rPr>
          <w:rFonts w:ascii="Arial" w:eastAsia="Times New Roman" w:hAnsi="Arial" w:cs="Arial"/>
          <w:noProof/>
          <w:sz w:val="24"/>
          <w:szCs w:val="24"/>
          <w:lang w:val="en-US"/>
        </w:rPr>
        <w:t>Apperley J. CML in pregnancy and childhood. Best Pract Res Clin Haematol 2009;22(3):455-74.</w:t>
      </w:r>
      <w:commentRangeEnd w:id="68"/>
      <w:r w:rsidR="00070CA3">
        <w:rPr>
          <w:rStyle w:val="CommentReference"/>
        </w:rPr>
        <w:commentReference w:id="68"/>
      </w:r>
    </w:p>
    <w:p w14:paraId="54934BEF" w14:textId="77777777" w:rsidR="006F15EF" w:rsidRPr="00153DD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US"/>
        </w:rPr>
      </w:pPr>
      <w:r w:rsidRPr="006F15EF">
        <w:rPr>
          <w:rFonts w:ascii="Arial" w:eastAsia="Times New Roman" w:hAnsi="Arial" w:cs="Arial"/>
          <w:noProof/>
          <w:sz w:val="24"/>
          <w:szCs w:val="24"/>
          <w:lang w:val="en-GB"/>
        </w:rPr>
        <w:tab/>
      </w:r>
      <w:r w:rsidRPr="006F15EF">
        <w:rPr>
          <w:rFonts w:ascii="Arial" w:eastAsia="Times New Roman" w:hAnsi="Arial" w:cs="Arial"/>
          <w:noProof/>
          <w:sz w:val="24"/>
          <w:szCs w:val="24"/>
          <w:lang w:val="en-US"/>
        </w:rPr>
        <w:t xml:space="preserve">21. </w:t>
      </w:r>
      <w:r w:rsidRPr="006F15EF">
        <w:rPr>
          <w:rFonts w:ascii="Arial" w:eastAsia="Times New Roman" w:hAnsi="Arial" w:cs="Arial"/>
          <w:noProof/>
          <w:sz w:val="24"/>
          <w:szCs w:val="24"/>
          <w:lang w:val="en-US"/>
        </w:rPr>
        <w:tab/>
        <w:t xml:space="preserve">Gratwohl A, Stern M, Brand R, Apperley J, Baldomero H, de Witte T, et al. Risk score for outcome after allogeneic hematopoietic stem cell transplantation: A retrospective analysis. </w:t>
      </w:r>
      <w:r w:rsidRPr="00153DDF">
        <w:rPr>
          <w:rFonts w:ascii="Arial" w:eastAsia="Times New Roman" w:hAnsi="Arial" w:cs="Arial"/>
          <w:noProof/>
          <w:sz w:val="24"/>
          <w:szCs w:val="24"/>
          <w:lang w:val="en-US"/>
        </w:rPr>
        <w:t>Cancer 2009;115(20):4715-26.</w:t>
      </w:r>
    </w:p>
    <w:p w14:paraId="31D4EDB6" w14:textId="77777777" w:rsidR="006F15EF" w:rsidRPr="006F15EF" w:rsidRDefault="006F15EF" w:rsidP="006F15EF">
      <w:pPr>
        <w:widowControl w:val="0"/>
        <w:tabs>
          <w:tab w:val="right" w:pos="360"/>
          <w:tab w:val="left" w:pos="540"/>
        </w:tabs>
        <w:spacing w:after="240" w:line="240" w:lineRule="auto"/>
        <w:ind w:left="540" w:hanging="540"/>
        <w:rPr>
          <w:rFonts w:ascii="Arial" w:eastAsia="Times New Roman" w:hAnsi="Arial" w:cs="Arial"/>
          <w:noProof/>
          <w:sz w:val="24"/>
          <w:szCs w:val="24"/>
          <w:lang w:val="en-GB"/>
        </w:rPr>
      </w:pPr>
      <w:r w:rsidRPr="00153DDF">
        <w:rPr>
          <w:rFonts w:ascii="Arial" w:eastAsia="Times New Roman" w:hAnsi="Arial" w:cs="Arial"/>
          <w:noProof/>
          <w:sz w:val="24"/>
          <w:szCs w:val="24"/>
          <w:lang w:val="en-US"/>
        </w:rPr>
        <w:tab/>
        <w:t xml:space="preserve">22. </w:t>
      </w:r>
      <w:r w:rsidRPr="00153DDF">
        <w:rPr>
          <w:rFonts w:ascii="Arial" w:eastAsia="Times New Roman" w:hAnsi="Arial" w:cs="Arial"/>
          <w:noProof/>
          <w:sz w:val="24"/>
          <w:szCs w:val="24"/>
          <w:lang w:val="en-US"/>
        </w:rPr>
        <w:tab/>
      </w:r>
      <w:r w:rsidRPr="006F15EF">
        <w:rPr>
          <w:rFonts w:ascii="Arial" w:eastAsia="Times New Roman" w:hAnsi="Arial" w:cs="Arial"/>
          <w:noProof/>
          <w:sz w:val="24"/>
          <w:szCs w:val="24"/>
          <w:lang w:val="de-DE"/>
        </w:rPr>
        <w:t xml:space="preserve">Saussele S, Lauseker M, Gratwohl A, Beelen DW, Bunjes D, Schwerdtfeger R, et al. </w:t>
      </w:r>
      <w:r w:rsidRPr="006F15EF">
        <w:rPr>
          <w:rFonts w:ascii="Arial" w:eastAsia="Times New Roman" w:hAnsi="Arial" w:cs="Arial"/>
          <w:noProof/>
          <w:sz w:val="24"/>
          <w:szCs w:val="24"/>
          <w:lang w:val="en-US"/>
        </w:rPr>
        <w:t>Allogeneic hematopoietic stem cell transplantation (allo SCT) for chronic myeloid leukemia in the imatinib era: evaluation of its impact within a subgroup of the randomized German CM</w:t>
      </w:r>
      <w:bookmarkEnd w:id="63"/>
      <w:r w:rsidRPr="006F15EF">
        <w:rPr>
          <w:rFonts w:ascii="Arial" w:eastAsia="Times New Roman" w:hAnsi="Arial" w:cs="Arial"/>
          <w:noProof/>
          <w:sz w:val="24"/>
          <w:szCs w:val="24"/>
          <w:lang w:val="en-US"/>
        </w:rPr>
        <w:t>L Study IV. Blood 2010;115(10):1880-5.</w:t>
      </w:r>
    </w:p>
    <w:sectPr w:rsidR="006F15EF" w:rsidRPr="006F15EF" w:rsidSect="00CC4376">
      <w:pgSz w:w="12240" w:h="15840"/>
      <w:pgMar w:top="1417" w:right="1417" w:bottom="1417"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Henrik Hjorth-Hansen" w:date="2021-01-09T16:33:00Z" w:initials="HH">
    <w:p w14:paraId="1F62896A" w14:textId="223E5ECF" w:rsidR="00844097" w:rsidRDefault="00844097">
      <w:pPr>
        <w:pStyle w:val="CommentText"/>
      </w:pPr>
      <w:r>
        <w:rPr>
          <w:rStyle w:val="CommentReference"/>
        </w:rPr>
        <w:annotationRef/>
      </w:r>
    </w:p>
  </w:comment>
  <w:comment w:id="4" w:author="Henrik Hjorth-Hansen" w:date="2021-01-09T16:33:00Z" w:initials="HH">
    <w:p w14:paraId="4DC7E09F" w14:textId="59FB9B4E" w:rsidR="00844097" w:rsidRPr="00153DDF" w:rsidRDefault="00844097">
      <w:pPr>
        <w:pStyle w:val="CommentText"/>
      </w:pPr>
      <w:r>
        <w:rPr>
          <w:rStyle w:val="CommentReference"/>
        </w:rPr>
        <w:annotationRef/>
      </w:r>
      <w:r w:rsidRPr="00DC7C84">
        <w:t>Hochhaus Leukemia 2020  (ELN recommendations ) i tillegg ti</w:t>
      </w:r>
      <w:r>
        <w:t xml:space="preserve">l anbefaling fra 2013 (baccarani) som er referansen i forrige handlingsprogram. </w:t>
      </w:r>
      <w:r w:rsidRPr="00153DDF">
        <w:t>Ta bort 2009-ELN recomm</w:t>
      </w:r>
    </w:p>
  </w:comment>
  <w:comment w:id="9" w:author="Henrik Hjorth-Hansen" w:date="2021-01-31T22:06:00Z" w:initials="HH">
    <w:p w14:paraId="1D497695" w14:textId="61E16F86" w:rsidR="006A4980" w:rsidRDefault="006A4980">
      <w:pPr>
        <w:pStyle w:val="CommentText"/>
      </w:pPr>
      <w:r>
        <w:rPr>
          <w:rStyle w:val="CommentReference"/>
        </w:rPr>
        <w:annotationRef/>
      </w:r>
      <w:r w:rsidRPr="006A4980">
        <w:t>Ref 3 må byttes ut D</w:t>
      </w:r>
      <w:r>
        <w:t>et er ny</w:t>
      </w:r>
      <w:r w:rsidR="006A1F93">
        <w:t>ere</w:t>
      </w:r>
      <w:r>
        <w:t xml:space="preserve"> utgave av boken</w:t>
      </w:r>
    </w:p>
    <w:p w14:paraId="6F629517" w14:textId="00E0307F" w:rsidR="006A4980" w:rsidRDefault="006A4980">
      <w:pPr>
        <w:pStyle w:val="CommentText"/>
      </w:pPr>
      <w:r w:rsidRPr="006A4980">
        <w:t>https://www.gyldendal.no/faglitteratur/medisin/laereboeker/blodsykdommer2/p-145436-no/</w:t>
      </w:r>
    </w:p>
    <w:p w14:paraId="6EA0FC27" w14:textId="5A482893" w:rsidR="006A4980" w:rsidRPr="006A4980" w:rsidRDefault="006A4980">
      <w:pPr>
        <w:pStyle w:val="CommentText"/>
      </w:pPr>
    </w:p>
  </w:comment>
  <w:comment w:id="12" w:author="Henrik Hjorth-Hansen" w:date="2021-01-31T22:19:00Z" w:initials="HH">
    <w:p w14:paraId="10F91C63" w14:textId="77777777" w:rsidR="00503048" w:rsidRDefault="00503048" w:rsidP="00503048">
      <w:pPr>
        <w:autoSpaceDE w:val="0"/>
        <w:autoSpaceDN w:val="0"/>
        <w:adjustRightInd w:val="0"/>
        <w:spacing w:after="0" w:line="240" w:lineRule="auto"/>
      </w:pPr>
      <w:r>
        <w:rPr>
          <w:rStyle w:val="CommentReference"/>
        </w:rPr>
        <w:annotationRef/>
      </w:r>
      <w:r>
        <w:t xml:space="preserve">Bytt ut nr 5  med denne </w:t>
      </w:r>
    </w:p>
    <w:p w14:paraId="36636A7F" w14:textId="104061EB" w:rsidR="00503048" w:rsidRPr="006A1F93" w:rsidRDefault="00503048" w:rsidP="00503048">
      <w:pPr>
        <w:autoSpaceDE w:val="0"/>
        <w:autoSpaceDN w:val="0"/>
        <w:adjustRightInd w:val="0"/>
        <w:spacing w:after="0" w:line="240" w:lineRule="auto"/>
        <w:rPr>
          <w:rFonts w:ascii="AdvOTf9433e2d" w:hAnsi="AdvOTf9433e2d" w:cs="AdvOTf9433e2d"/>
          <w:sz w:val="17"/>
          <w:szCs w:val="17"/>
        </w:rPr>
      </w:pPr>
      <w:r w:rsidRPr="006A1F93">
        <w:rPr>
          <w:rFonts w:ascii="AdvOTf9433e2d" w:hAnsi="AdvOTf9433e2d" w:cs="AdvOTf9433e2d"/>
          <w:sz w:val="17"/>
          <w:szCs w:val="17"/>
        </w:rPr>
        <w:t>Cross NC, White HE, Müller MC, Saglio G, Hochhaus A.</w:t>
      </w:r>
    </w:p>
    <w:p w14:paraId="1EF9499A" w14:textId="77777777" w:rsidR="00503048" w:rsidRPr="00503048" w:rsidRDefault="00503048" w:rsidP="00503048">
      <w:pPr>
        <w:autoSpaceDE w:val="0"/>
        <w:autoSpaceDN w:val="0"/>
        <w:adjustRightInd w:val="0"/>
        <w:spacing w:after="0" w:line="240" w:lineRule="auto"/>
        <w:rPr>
          <w:rFonts w:ascii="AdvOTf9433e2d" w:hAnsi="AdvOTf9433e2d" w:cs="AdvOTf9433e2d"/>
          <w:sz w:val="17"/>
          <w:szCs w:val="17"/>
          <w:lang w:val="en-US"/>
        </w:rPr>
      </w:pPr>
      <w:r w:rsidRPr="00503048">
        <w:rPr>
          <w:rFonts w:ascii="AdvOTf9433e2d" w:hAnsi="AdvOTf9433e2d" w:cs="AdvOTf9433e2d"/>
          <w:sz w:val="17"/>
          <w:szCs w:val="17"/>
          <w:lang w:val="en-US"/>
        </w:rPr>
        <w:t>Standardized de</w:t>
      </w:r>
      <w:r w:rsidRPr="00503048">
        <w:rPr>
          <w:rFonts w:ascii="AdvOTf9433e2d+fb" w:hAnsi="AdvOTf9433e2d+fb" w:cs="AdvOTf9433e2d+fb"/>
          <w:sz w:val="17"/>
          <w:szCs w:val="17"/>
          <w:lang w:val="en-US"/>
        </w:rPr>
        <w:t>fi</w:t>
      </w:r>
      <w:r w:rsidRPr="00503048">
        <w:rPr>
          <w:rFonts w:ascii="AdvOTf9433e2d" w:hAnsi="AdvOTf9433e2d" w:cs="AdvOTf9433e2d"/>
          <w:sz w:val="17"/>
          <w:szCs w:val="17"/>
          <w:lang w:val="en-US"/>
        </w:rPr>
        <w:t>nitions of molecular response in chronic myeloid</w:t>
      </w:r>
    </w:p>
    <w:p w14:paraId="75B3B88C" w14:textId="5C896D03" w:rsidR="00503048" w:rsidRPr="006A1F93" w:rsidRDefault="00503048" w:rsidP="00503048">
      <w:pPr>
        <w:pStyle w:val="CommentText"/>
        <w:rPr>
          <w:lang w:val="fr-FR"/>
        </w:rPr>
      </w:pPr>
      <w:r w:rsidRPr="006A1F93">
        <w:rPr>
          <w:rFonts w:ascii="AdvOTf9433e2d" w:hAnsi="AdvOTf9433e2d" w:cs="AdvOTf9433e2d"/>
          <w:sz w:val="17"/>
          <w:szCs w:val="17"/>
          <w:lang w:val="fr-FR"/>
        </w:rPr>
        <w:t>leukemia. Leukemia. 2012;26:2172</w:t>
      </w:r>
      <w:r w:rsidRPr="006A1F93">
        <w:rPr>
          <w:rFonts w:ascii="AdvOTf9433e2d+20" w:hAnsi="AdvOTf9433e2d+20" w:cs="AdvOTf9433e2d+20"/>
          <w:sz w:val="17"/>
          <w:szCs w:val="17"/>
          <w:lang w:val="fr-FR"/>
        </w:rPr>
        <w:t>–</w:t>
      </w:r>
      <w:r w:rsidRPr="006A1F93">
        <w:rPr>
          <w:rFonts w:ascii="AdvOTf9433e2d" w:hAnsi="AdvOTf9433e2d" w:cs="AdvOTf9433e2d"/>
          <w:sz w:val="17"/>
          <w:szCs w:val="17"/>
          <w:lang w:val="fr-FR"/>
        </w:rPr>
        <w:t>5.</w:t>
      </w:r>
    </w:p>
  </w:comment>
  <w:comment w:id="15" w:author="Henrik Hjorth-Hansen" w:date="2021-01-09T16:43:00Z" w:initials="HH">
    <w:p w14:paraId="52D83A3B" w14:textId="3C159E99" w:rsidR="00844097" w:rsidRPr="006A1F93" w:rsidRDefault="00844097">
      <w:pPr>
        <w:pStyle w:val="CommentText"/>
        <w:rPr>
          <w:lang w:val="fr-FR"/>
        </w:rPr>
      </w:pPr>
      <w:r>
        <w:rPr>
          <w:rStyle w:val="CommentReference"/>
        </w:rPr>
        <w:annotationRef/>
      </w:r>
      <w:r w:rsidRPr="006A1F93">
        <w:rPr>
          <w:lang w:val="fr-FR"/>
        </w:rPr>
        <w:t xml:space="preserve">Branford </w:t>
      </w:r>
      <w:hyperlink r:id="rId1" w:history="1">
        <w:r w:rsidRPr="006A1F93">
          <w:rPr>
            <w:rStyle w:val="Hyperlink"/>
            <w:rFonts w:ascii="Segoe UI" w:hAnsi="Segoe UI" w:cs="Segoe UI"/>
            <w:i/>
            <w:iCs/>
            <w:color w:val="006699"/>
            <w:shd w:val="clear" w:color="auto" w:fill="FFFFFF"/>
            <w:lang w:val="fr-FR"/>
          </w:rPr>
          <w:t>Leukemia</w:t>
        </w:r>
      </w:hyperlink>
      <w:r w:rsidRPr="006A1F93">
        <w:rPr>
          <w:rFonts w:ascii="Segoe UI" w:hAnsi="Segoe UI" w:cs="Segoe UI"/>
          <w:color w:val="222222"/>
          <w:shd w:val="clear" w:color="auto" w:fill="FFFFFF"/>
          <w:lang w:val="fr-FR"/>
        </w:rPr>
        <w:t> </w:t>
      </w:r>
      <w:r w:rsidRPr="006A1F93">
        <w:rPr>
          <w:rStyle w:val="u-visually-hidden"/>
          <w:rFonts w:ascii="Segoe UI" w:hAnsi="Segoe UI" w:cs="Segoe UI"/>
          <w:b/>
          <w:bCs/>
          <w:color w:val="222222"/>
          <w:bdr w:val="none" w:sz="0" w:space="0" w:color="auto" w:frame="1"/>
          <w:shd w:val="clear" w:color="auto" w:fill="FFFFFF"/>
          <w:lang w:val="fr-FR"/>
        </w:rPr>
        <w:t>volume</w:t>
      </w:r>
      <w:r w:rsidRPr="006A1F93">
        <w:rPr>
          <w:rFonts w:ascii="Segoe UI" w:hAnsi="Segoe UI" w:cs="Segoe UI"/>
          <w:b/>
          <w:bCs/>
          <w:color w:val="222222"/>
          <w:shd w:val="clear" w:color="auto" w:fill="FFFFFF"/>
          <w:lang w:val="fr-FR"/>
        </w:rPr>
        <w:t> 33</w:t>
      </w:r>
      <w:r w:rsidRPr="006A1F93">
        <w:rPr>
          <w:rFonts w:ascii="Segoe UI" w:hAnsi="Segoe UI" w:cs="Segoe UI"/>
          <w:color w:val="222222"/>
          <w:shd w:val="clear" w:color="auto" w:fill="FFFFFF"/>
          <w:lang w:val="fr-FR"/>
        </w:rPr>
        <w:t>, </w:t>
      </w:r>
      <w:r w:rsidRPr="006A1F93">
        <w:rPr>
          <w:rStyle w:val="u-visually-hidden"/>
          <w:rFonts w:ascii="Segoe UI" w:hAnsi="Segoe UI" w:cs="Segoe UI"/>
          <w:color w:val="222222"/>
          <w:bdr w:val="none" w:sz="0" w:space="0" w:color="auto" w:frame="1"/>
          <w:shd w:val="clear" w:color="auto" w:fill="FFFFFF"/>
          <w:lang w:val="fr-FR"/>
        </w:rPr>
        <w:t>pages</w:t>
      </w:r>
      <w:r w:rsidRPr="006A1F93">
        <w:rPr>
          <w:rFonts w:ascii="Segoe UI" w:hAnsi="Segoe UI" w:cs="Segoe UI"/>
          <w:color w:val="222222"/>
          <w:shd w:val="clear" w:color="auto" w:fill="FFFFFF"/>
          <w:lang w:val="fr-FR"/>
        </w:rPr>
        <w:t>1835–1850(2019)</w:t>
      </w:r>
      <w:r w:rsidRPr="006A1F93">
        <w:rPr>
          <w:lang w:val="fr-FR"/>
        </w:rPr>
        <w:t xml:space="preserve"> </w:t>
      </w:r>
    </w:p>
  </w:comment>
  <w:comment w:id="26" w:author="Henrik Hjorth-Hansen [2]" w:date="2019-05-13T21:16:00Z" w:initials="HH">
    <w:p w14:paraId="69E39898" w14:textId="328F76D5" w:rsidR="00844097" w:rsidRPr="006A1F93" w:rsidRDefault="00844097">
      <w:pPr>
        <w:pStyle w:val="CommentText"/>
        <w:rPr>
          <w:lang w:val="en-US"/>
        </w:rPr>
      </w:pPr>
      <w:r>
        <w:rPr>
          <w:rStyle w:val="CommentReference"/>
        </w:rPr>
        <w:annotationRef/>
      </w:r>
      <w:r w:rsidRPr="006A1F93">
        <w:rPr>
          <w:lang w:val="en-US"/>
        </w:rPr>
        <w:t xml:space="preserve">BFore-studien Cortes j.  </w:t>
      </w:r>
      <w:hyperlink r:id="rId2" w:tooltip="Journal of clinical oncology : official journal of the American Society of Clinical Oncology." w:history="1">
        <w:r w:rsidRPr="003E4C3F">
          <w:rPr>
            <w:rStyle w:val="Hyperlink"/>
            <w:color w:val="660066"/>
            <w:sz w:val="17"/>
            <w:szCs w:val="17"/>
            <w:shd w:val="clear" w:color="auto" w:fill="FFFFFF"/>
            <w:lang w:val="en-US"/>
          </w:rPr>
          <w:t>J Clin Oncol.</w:t>
        </w:r>
      </w:hyperlink>
      <w:r w:rsidRPr="003E4C3F">
        <w:rPr>
          <w:rFonts w:ascii="Arial" w:hAnsi="Arial" w:cs="Arial"/>
          <w:color w:val="000000"/>
          <w:sz w:val="17"/>
          <w:szCs w:val="17"/>
          <w:shd w:val="clear" w:color="auto" w:fill="FFFFFF"/>
          <w:lang w:val="en-US"/>
        </w:rPr>
        <w:t> </w:t>
      </w:r>
      <w:r w:rsidRPr="006A1F93">
        <w:rPr>
          <w:rFonts w:ascii="Arial" w:hAnsi="Arial" w:cs="Arial"/>
          <w:color w:val="000000"/>
          <w:sz w:val="17"/>
          <w:szCs w:val="17"/>
          <w:shd w:val="clear" w:color="auto" w:fill="FFFFFF"/>
          <w:lang w:val="en-US"/>
        </w:rPr>
        <w:t>2018 Jan 20;36(3):231-237. </w:t>
      </w:r>
    </w:p>
  </w:comment>
  <w:comment w:id="32" w:author="Henrik Hjorth-Hansen" w:date="2021-02-02T21:47:00Z" w:initials="HH">
    <w:p w14:paraId="4346CC16" w14:textId="2124B545" w:rsidR="00FC79ED" w:rsidRDefault="00FC79ED">
      <w:pPr>
        <w:pStyle w:val="CommentText"/>
      </w:pPr>
      <w:r>
        <w:rPr>
          <w:rStyle w:val="CommentReference"/>
        </w:rPr>
        <w:annotationRef/>
      </w:r>
      <w:r>
        <w:t xml:space="preserve">Hochhaus Leukemia 2020 om temaet </w:t>
      </w:r>
      <w:hyperlink r:id="rId3" w:history="1">
        <w:r>
          <w:rPr>
            <w:rStyle w:val="Hyperlink"/>
          </w:rPr>
          <w:t>s41375-020-0842-9.pdf</w:t>
        </w:r>
      </w:hyperlink>
    </w:p>
  </w:comment>
  <w:comment w:id="35" w:author="Henrik Hjorth-Hansen" w:date="2021-01-31T22:30:00Z" w:initials="HH">
    <w:p w14:paraId="1FDB62F4" w14:textId="77777777" w:rsidR="001B341D" w:rsidRPr="00153DDF" w:rsidRDefault="001B341D">
      <w:pPr>
        <w:pStyle w:val="CommentText"/>
        <w:rPr>
          <w:lang w:val="fr-FR"/>
        </w:rPr>
      </w:pPr>
      <w:r>
        <w:rPr>
          <w:rStyle w:val="CommentReference"/>
        </w:rPr>
        <w:annotationRef/>
      </w:r>
      <w:r w:rsidRPr="00153DDF">
        <w:rPr>
          <w:lang w:val="fr-FR"/>
        </w:rPr>
        <w:t xml:space="preserve">Bytt ut med </w:t>
      </w:r>
      <w:r w:rsidR="0050725A" w:rsidRPr="00153DDF">
        <w:rPr>
          <w:lang w:val="fr-FR"/>
        </w:rPr>
        <w:t>PACEstudien</w:t>
      </w:r>
    </w:p>
    <w:p w14:paraId="3E6FE037" w14:textId="77777777" w:rsidR="0050725A" w:rsidRPr="00D246DB" w:rsidRDefault="0050725A" w:rsidP="0050725A">
      <w:pPr>
        <w:autoSpaceDE w:val="0"/>
        <w:autoSpaceDN w:val="0"/>
        <w:adjustRightInd w:val="0"/>
        <w:spacing w:after="0" w:line="240" w:lineRule="auto"/>
        <w:rPr>
          <w:rFonts w:ascii="AdvOTf9433e2d" w:hAnsi="AdvOTf9433e2d" w:cs="AdvOTf9433e2d"/>
          <w:sz w:val="17"/>
          <w:szCs w:val="17"/>
          <w:lang w:val="fr-FR"/>
        </w:rPr>
      </w:pPr>
      <w:r w:rsidRPr="00D246DB">
        <w:rPr>
          <w:rFonts w:ascii="AdvOTf9433e2d" w:hAnsi="AdvOTf9433e2d" w:cs="AdvOTf9433e2d"/>
          <w:sz w:val="17"/>
          <w:szCs w:val="17"/>
          <w:lang w:val="fr-FR"/>
        </w:rPr>
        <w:t>Cortes JE, Kim DW, Pinilla-Ibarz J, le Coutre PD, Paquette R,</w:t>
      </w:r>
    </w:p>
    <w:p w14:paraId="64F972F2" w14:textId="77777777" w:rsidR="0050725A" w:rsidRPr="00D246DB" w:rsidRDefault="0050725A" w:rsidP="0050725A">
      <w:pPr>
        <w:autoSpaceDE w:val="0"/>
        <w:autoSpaceDN w:val="0"/>
        <w:adjustRightInd w:val="0"/>
        <w:spacing w:after="0" w:line="240" w:lineRule="auto"/>
        <w:rPr>
          <w:rFonts w:ascii="AdvOTf9433e2d" w:hAnsi="AdvOTf9433e2d" w:cs="AdvOTf9433e2d"/>
          <w:sz w:val="17"/>
          <w:szCs w:val="17"/>
          <w:lang w:val="en-US"/>
        </w:rPr>
      </w:pPr>
      <w:r w:rsidRPr="00D246DB">
        <w:rPr>
          <w:rFonts w:ascii="AdvOTf9433e2d" w:hAnsi="AdvOTf9433e2d" w:cs="AdvOTf9433e2d"/>
          <w:sz w:val="17"/>
          <w:szCs w:val="17"/>
          <w:lang w:val="en-US"/>
        </w:rPr>
        <w:t>Chuah C, et al. Ponatinib ef</w:t>
      </w:r>
      <w:r w:rsidRPr="00D246DB">
        <w:rPr>
          <w:rFonts w:ascii="AdvOTf9433e2d+fb" w:hAnsi="AdvOTf9433e2d+fb" w:cs="AdvOTf9433e2d+fb"/>
          <w:sz w:val="17"/>
          <w:szCs w:val="17"/>
          <w:lang w:val="en-US"/>
        </w:rPr>
        <w:t>fi</w:t>
      </w:r>
      <w:r w:rsidRPr="00D246DB">
        <w:rPr>
          <w:rFonts w:ascii="AdvOTf9433e2d" w:hAnsi="AdvOTf9433e2d" w:cs="AdvOTf9433e2d"/>
          <w:sz w:val="17"/>
          <w:szCs w:val="17"/>
          <w:lang w:val="en-US"/>
        </w:rPr>
        <w:t>cacy and safety in Philadelphia</w:t>
      </w:r>
    </w:p>
    <w:p w14:paraId="50BBAD5E" w14:textId="77777777" w:rsidR="0050725A" w:rsidRPr="00D246DB" w:rsidRDefault="0050725A" w:rsidP="0050725A">
      <w:pPr>
        <w:autoSpaceDE w:val="0"/>
        <w:autoSpaceDN w:val="0"/>
        <w:adjustRightInd w:val="0"/>
        <w:spacing w:after="0" w:line="240" w:lineRule="auto"/>
        <w:rPr>
          <w:rFonts w:ascii="AdvOTf9433e2d" w:hAnsi="AdvOTf9433e2d" w:cs="AdvOTf9433e2d"/>
          <w:sz w:val="17"/>
          <w:szCs w:val="17"/>
          <w:lang w:val="en-US"/>
        </w:rPr>
      </w:pPr>
      <w:r w:rsidRPr="00D246DB">
        <w:rPr>
          <w:rFonts w:ascii="AdvOTf9433e2d" w:hAnsi="AdvOTf9433e2d" w:cs="AdvOTf9433e2d"/>
          <w:sz w:val="17"/>
          <w:szCs w:val="17"/>
          <w:lang w:val="en-US"/>
        </w:rPr>
        <w:t xml:space="preserve">chromosome-positive leukemia: </w:t>
      </w:r>
      <w:r w:rsidRPr="00D246DB">
        <w:rPr>
          <w:rFonts w:ascii="AdvOTf9433e2d+fb" w:hAnsi="AdvOTf9433e2d+fb" w:cs="AdvOTf9433e2d+fb"/>
          <w:sz w:val="17"/>
          <w:szCs w:val="17"/>
          <w:lang w:val="en-US"/>
        </w:rPr>
        <w:t>fi</w:t>
      </w:r>
      <w:r w:rsidRPr="00D246DB">
        <w:rPr>
          <w:rFonts w:ascii="AdvOTf9433e2d" w:hAnsi="AdvOTf9433e2d" w:cs="AdvOTf9433e2d"/>
          <w:sz w:val="17"/>
          <w:szCs w:val="17"/>
          <w:lang w:val="en-US"/>
        </w:rPr>
        <w:t>nal 5-year results of the phase</w:t>
      </w:r>
    </w:p>
    <w:p w14:paraId="4AF6C7DD" w14:textId="77777777" w:rsidR="0050725A" w:rsidRDefault="0050725A" w:rsidP="0050725A">
      <w:pPr>
        <w:pStyle w:val="CommentText"/>
      </w:pPr>
      <w:r>
        <w:rPr>
          <w:rFonts w:ascii="AdvOTf9433e2d" w:hAnsi="AdvOTf9433e2d" w:cs="AdvOTf9433e2d"/>
          <w:sz w:val="17"/>
          <w:szCs w:val="17"/>
        </w:rPr>
        <w:t>2 PACE trial. Blood. 2018;132:393</w:t>
      </w:r>
      <w:r>
        <w:rPr>
          <w:rFonts w:ascii="AdvOTf9433e2d+20" w:hAnsi="AdvOTf9433e2d+20" w:cs="AdvOTf9433e2d+20"/>
          <w:sz w:val="17"/>
          <w:szCs w:val="17"/>
        </w:rPr>
        <w:t>–</w:t>
      </w:r>
      <w:r>
        <w:rPr>
          <w:rFonts w:ascii="AdvOTf9433e2d" w:hAnsi="AdvOTf9433e2d" w:cs="AdvOTf9433e2d"/>
          <w:sz w:val="17"/>
          <w:szCs w:val="17"/>
        </w:rPr>
        <w:t>404.  Ta bort den gamle referanse 15</w:t>
      </w:r>
    </w:p>
    <w:p w14:paraId="493AB7CA" w14:textId="4D1453B0" w:rsidR="0050725A" w:rsidRDefault="0050725A">
      <w:pPr>
        <w:pStyle w:val="CommentText"/>
      </w:pPr>
    </w:p>
  </w:comment>
  <w:comment w:id="38" w:author="Henrik Hjorth-Hansen [2]" w:date="2017-12-06T13:51:00Z" w:initials="HH">
    <w:p w14:paraId="538B2BDA" w14:textId="4B331AA8" w:rsidR="00844097" w:rsidRDefault="00844097">
      <w:pPr>
        <w:pStyle w:val="CommentText"/>
      </w:pPr>
      <w:r>
        <w:rPr>
          <w:rStyle w:val="CommentReference"/>
        </w:rPr>
        <w:annotationRef/>
      </w:r>
      <w:r>
        <w:t>Ta bort referanser, og erstatt med Steegmann Leukemia ELN recommendations 2016</w:t>
      </w:r>
    </w:p>
  </w:comment>
  <w:comment w:id="39" w:author="Henrik Hjorth-Hansen" w:date="2021-01-31T21:24:00Z" w:initials="HH">
    <w:p w14:paraId="3E852A0A" w14:textId="77777777" w:rsidR="00844097" w:rsidRPr="00D246DB" w:rsidRDefault="00844097" w:rsidP="00D246DB">
      <w:pPr>
        <w:autoSpaceDE w:val="0"/>
        <w:autoSpaceDN w:val="0"/>
        <w:adjustRightInd w:val="0"/>
        <w:spacing w:after="0" w:line="240" w:lineRule="auto"/>
        <w:rPr>
          <w:rFonts w:ascii="AdvOTf9433e2d" w:hAnsi="AdvOTf9433e2d" w:cs="AdvOTf9433e2d"/>
          <w:sz w:val="17"/>
          <w:szCs w:val="17"/>
          <w:lang w:val="fr-FR"/>
        </w:rPr>
      </w:pPr>
      <w:r>
        <w:rPr>
          <w:rStyle w:val="CommentReference"/>
        </w:rPr>
        <w:annotationRef/>
      </w:r>
      <w:r w:rsidRPr="00D246DB">
        <w:rPr>
          <w:rFonts w:ascii="AdvOTf9433e2d" w:hAnsi="AdvOTf9433e2d" w:cs="AdvOTf9433e2d"/>
          <w:sz w:val="17"/>
          <w:szCs w:val="17"/>
          <w:lang w:val="fr-FR"/>
        </w:rPr>
        <w:t>Cortes JE, Kim DW, Pinilla-Ibarz J, le Coutre PD, Paquette R,</w:t>
      </w:r>
    </w:p>
    <w:p w14:paraId="15AA96D4" w14:textId="77777777" w:rsidR="00844097" w:rsidRPr="00D246DB" w:rsidRDefault="00844097" w:rsidP="00D246DB">
      <w:pPr>
        <w:autoSpaceDE w:val="0"/>
        <w:autoSpaceDN w:val="0"/>
        <w:adjustRightInd w:val="0"/>
        <w:spacing w:after="0" w:line="240" w:lineRule="auto"/>
        <w:rPr>
          <w:rFonts w:ascii="AdvOTf9433e2d" w:hAnsi="AdvOTf9433e2d" w:cs="AdvOTf9433e2d"/>
          <w:sz w:val="17"/>
          <w:szCs w:val="17"/>
          <w:lang w:val="en-US"/>
        </w:rPr>
      </w:pPr>
      <w:r w:rsidRPr="00D246DB">
        <w:rPr>
          <w:rFonts w:ascii="AdvOTf9433e2d" w:hAnsi="AdvOTf9433e2d" w:cs="AdvOTf9433e2d"/>
          <w:sz w:val="17"/>
          <w:szCs w:val="17"/>
          <w:lang w:val="en-US"/>
        </w:rPr>
        <w:t>Chuah C, et al. Ponatinib ef</w:t>
      </w:r>
      <w:r w:rsidRPr="00D246DB">
        <w:rPr>
          <w:rFonts w:ascii="AdvOTf9433e2d+fb" w:hAnsi="AdvOTf9433e2d+fb" w:cs="AdvOTf9433e2d+fb"/>
          <w:sz w:val="17"/>
          <w:szCs w:val="17"/>
          <w:lang w:val="en-US"/>
        </w:rPr>
        <w:t>fi</w:t>
      </w:r>
      <w:r w:rsidRPr="00D246DB">
        <w:rPr>
          <w:rFonts w:ascii="AdvOTf9433e2d" w:hAnsi="AdvOTf9433e2d" w:cs="AdvOTf9433e2d"/>
          <w:sz w:val="17"/>
          <w:szCs w:val="17"/>
          <w:lang w:val="en-US"/>
        </w:rPr>
        <w:t>cacy and safety in Philadelphia</w:t>
      </w:r>
    </w:p>
    <w:p w14:paraId="4C690AA6" w14:textId="77777777" w:rsidR="00844097" w:rsidRPr="00D246DB" w:rsidRDefault="00844097" w:rsidP="00D246DB">
      <w:pPr>
        <w:autoSpaceDE w:val="0"/>
        <w:autoSpaceDN w:val="0"/>
        <w:adjustRightInd w:val="0"/>
        <w:spacing w:after="0" w:line="240" w:lineRule="auto"/>
        <w:rPr>
          <w:rFonts w:ascii="AdvOTf9433e2d" w:hAnsi="AdvOTf9433e2d" w:cs="AdvOTf9433e2d"/>
          <w:sz w:val="17"/>
          <w:szCs w:val="17"/>
          <w:lang w:val="en-US"/>
        </w:rPr>
      </w:pPr>
      <w:r w:rsidRPr="00D246DB">
        <w:rPr>
          <w:rFonts w:ascii="AdvOTf9433e2d" w:hAnsi="AdvOTf9433e2d" w:cs="AdvOTf9433e2d"/>
          <w:sz w:val="17"/>
          <w:szCs w:val="17"/>
          <w:lang w:val="en-US"/>
        </w:rPr>
        <w:t xml:space="preserve">chromosome-positive leukemia: </w:t>
      </w:r>
      <w:r w:rsidRPr="00D246DB">
        <w:rPr>
          <w:rFonts w:ascii="AdvOTf9433e2d+fb" w:hAnsi="AdvOTf9433e2d+fb" w:cs="AdvOTf9433e2d+fb"/>
          <w:sz w:val="17"/>
          <w:szCs w:val="17"/>
          <w:lang w:val="en-US"/>
        </w:rPr>
        <w:t>fi</w:t>
      </w:r>
      <w:r w:rsidRPr="00D246DB">
        <w:rPr>
          <w:rFonts w:ascii="AdvOTf9433e2d" w:hAnsi="AdvOTf9433e2d" w:cs="AdvOTf9433e2d"/>
          <w:sz w:val="17"/>
          <w:szCs w:val="17"/>
          <w:lang w:val="en-US"/>
        </w:rPr>
        <w:t>nal 5-year results of the phase</w:t>
      </w:r>
    </w:p>
    <w:p w14:paraId="12BBB1FA" w14:textId="643A2245" w:rsidR="00844097" w:rsidRDefault="00844097" w:rsidP="00D246DB">
      <w:pPr>
        <w:pStyle w:val="CommentText"/>
      </w:pPr>
      <w:r>
        <w:rPr>
          <w:rFonts w:ascii="AdvOTf9433e2d" w:hAnsi="AdvOTf9433e2d" w:cs="AdvOTf9433e2d"/>
          <w:sz w:val="17"/>
          <w:szCs w:val="17"/>
        </w:rPr>
        <w:t>2 PACE trial. Blood. 2018;132:393</w:t>
      </w:r>
      <w:r>
        <w:rPr>
          <w:rFonts w:ascii="AdvOTf9433e2d+20" w:hAnsi="AdvOTf9433e2d+20" w:cs="AdvOTf9433e2d+20"/>
          <w:sz w:val="17"/>
          <w:szCs w:val="17"/>
        </w:rPr>
        <w:t>–</w:t>
      </w:r>
      <w:r>
        <w:rPr>
          <w:rFonts w:ascii="AdvOTf9433e2d" w:hAnsi="AdvOTf9433e2d" w:cs="AdvOTf9433e2d"/>
          <w:sz w:val="17"/>
          <w:szCs w:val="17"/>
        </w:rPr>
        <w:t>404.</w:t>
      </w:r>
      <w:r w:rsidR="001B341D">
        <w:rPr>
          <w:rFonts w:ascii="AdvOTf9433e2d" w:hAnsi="AdvOTf9433e2d" w:cs="AdvOTf9433e2d"/>
          <w:sz w:val="17"/>
          <w:szCs w:val="17"/>
        </w:rPr>
        <w:t xml:space="preserve">  Ta bort den gamle referanse 15</w:t>
      </w:r>
    </w:p>
  </w:comment>
  <w:comment w:id="40" w:author="Henrik Hjorth-Hansen" w:date="2021-01-09T20:41:00Z" w:initials="HH">
    <w:p w14:paraId="49C81BF9" w14:textId="77777777" w:rsidR="00844097" w:rsidRDefault="00844097">
      <w:pPr>
        <w:pStyle w:val="CommentText"/>
      </w:pPr>
      <w:r>
        <w:rPr>
          <w:rStyle w:val="CommentReference"/>
        </w:rPr>
        <w:annotationRef/>
      </w:r>
      <w:r w:rsidRPr="00811809">
        <w:t>Cortes møtepresentasjon EHA 2020</w:t>
      </w:r>
    </w:p>
    <w:p w14:paraId="25B4AE3E" w14:textId="3ECA5C93" w:rsidR="00070CA3" w:rsidRPr="00811809" w:rsidRDefault="00070CA3">
      <w:pPr>
        <w:pStyle w:val="CommentText"/>
      </w:pPr>
      <w:r w:rsidRPr="00070CA3">
        <w:t>https://library.ehaweb.org/eha/2020/eha25th/294992/jorge.cortes.interim.analysis.from.the.optic.trial.a.dose-ranging.study.of.3.html?f=listing%3D0%2Abrowseby%3D8%2Asortby%3D1%2Asearch%3Doptic</w:t>
      </w:r>
    </w:p>
  </w:comment>
  <w:comment w:id="43" w:author="Henrik Hjorth-Hansen [2]" w:date="2018-01-06T21:43:00Z" w:initials="HH">
    <w:p w14:paraId="24B44A4A" w14:textId="626F0BE5" w:rsidR="00844097" w:rsidRPr="00811809" w:rsidRDefault="00844097">
      <w:pPr>
        <w:pStyle w:val="CommentText"/>
      </w:pPr>
      <w:r>
        <w:rPr>
          <w:rStyle w:val="CommentReference"/>
        </w:rPr>
        <w:annotationRef/>
      </w:r>
      <w:r w:rsidRPr="00811809">
        <w:t xml:space="preserve"> </w:t>
      </w:r>
    </w:p>
  </w:comment>
  <w:comment w:id="44" w:author="Henrik Hjorth-Hansen" w:date="2021-01-31T20:15:00Z" w:initials="HH">
    <w:p w14:paraId="592828AE" w14:textId="406A0320" w:rsidR="00844097" w:rsidRDefault="00844097">
      <w:pPr>
        <w:pStyle w:val="CommentText"/>
      </w:pPr>
      <w:r>
        <w:rPr>
          <w:rStyle w:val="CommentReference"/>
        </w:rPr>
        <w:annotationRef/>
      </w:r>
      <w:r w:rsidRPr="00811809">
        <w:t>Bytte m</w:t>
      </w:r>
      <w:r>
        <w:t xml:space="preserve">ed Abruzzese </w:t>
      </w:r>
      <w:hyperlink r:id="rId4" w:history="1">
        <w:r>
          <w:rPr>
            <w:rStyle w:val="Hyperlink"/>
          </w:rPr>
          <w:t>10.1177_2040620720966120.pdf (nih.gov)</w:t>
        </w:r>
      </w:hyperlink>
    </w:p>
  </w:comment>
  <w:comment w:id="52" w:author="Henrik Hjorth-Hansen [2]" w:date="2017-12-06T07:52:00Z" w:initials="HH">
    <w:p w14:paraId="02C675E8" w14:textId="004ABFFF" w:rsidR="00844097" w:rsidRPr="00153DDF" w:rsidRDefault="00844097">
      <w:pPr>
        <w:pStyle w:val="CommentText"/>
        <w:rPr>
          <w:lang w:val="fr-FR"/>
        </w:rPr>
      </w:pPr>
      <w:r>
        <w:rPr>
          <w:rStyle w:val="CommentReference"/>
        </w:rPr>
        <w:annotationRef/>
      </w:r>
      <w:r w:rsidRPr="00153DDF">
        <w:rPr>
          <w:lang w:val="fr-FR"/>
        </w:rPr>
        <w:t xml:space="preserve">REF Sasaki et al </w:t>
      </w:r>
      <w:hyperlink r:id="rId5" w:tooltip="Cancer." w:history="1">
        <w:r w:rsidRPr="00153DDF">
          <w:rPr>
            <w:rStyle w:val="Hyperlink"/>
            <w:lang w:val="fr-FR"/>
          </w:rPr>
          <w:t>Cancer.</w:t>
        </w:r>
      </w:hyperlink>
      <w:r w:rsidRPr="00153DDF">
        <w:rPr>
          <w:lang w:val="fr-FR"/>
        </w:rPr>
        <w:t xml:space="preserve"> 2016 Dec 1;122(23):3650-3656</w:t>
      </w:r>
    </w:p>
    <w:p w14:paraId="5C465CAC" w14:textId="77777777" w:rsidR="00844097" w:rsidRPr="006A1F93" w:rsidRDefault="00844097">
      <w:pPr>
        <w:pStyle w:val="CommentText"/>
      </w:pPr>
      <w:r w:rsidRPr="006A1F93">
        <w:t xml:space="preserve">Jabbour et al Lancet oncology </w:t>
      </w:r>
      <w:hyperlink r:id="rId6" w:history="1">
        <w:r w:rsidRPr="006A1F93">
          <w:rPr>
            <w:rStyle w:val="Hyperlink"/>
          </w:rPr>
          <w:t>Volume 16, No. 15</w:t>
        </w:r>
      </w:hyperlink>
      <w:r w:rsidRPr="006A1F93">
        <w:t>, p1547–1555, November 2015</w:t>
      </w:r>
    </w:p>
    <w:p w14:paraId="4EB44159" w14:textId="67840A96" w:rsidR="00844097" w:rsidRPr="006A1F93" w:rsidRDefault="00844097">
      <w:pPr>
        <w:pStyle w:val="CommentText"/>
      </w:pPr>
      <w:r w:rsidRPr="006A1F93">
        <w:rPr>
          <w:rFonts w:ascii="Verdana" w:hAnsi="Verdana"/>
          <w:color w:val="333333"/>
          <w:shd w:val="clear" w:color="auto" w:fill="FFFFFF"/>
        </w:rPr>
        <w:t>.</w:t>
      </w:r>
    </w:p>
  </w:comment>
  <w:comment w:id="55" w:author="Henrik Hjorth-Hansen" w:date="2021-01-31T21:25:00Z" w:initials="HH">
    <w:p w14:paraId="12FA4B92" w14:textId="16EBFE3D" w:rsidR="00844097" w:rsidRPr="006A1F93" w:rsidRDefault="00844097">
      <w:pPr>
        <w:pStyle w:val="CommentText"/>
      </w:pPr>
      <w:r>
        <w:rPr>
          <w:rStyle w:val="CommentReference"/>
        </w:rPr>
        <w:annotationRef/>
      </w:r>
      <w:r w:rsidRPr="006A1F93">
        <w:t xml:space="preserve">Hughes NEJM2020 </w:t>
      </w:r>
      <w:hyperlink r:id="rId7" w:history="1">
        <w:r w:rsidRPr="006A1F93">
          <w:rPr>
            <w:rStyle w:val="Hyperlink"/>
          </w:rPr>
          <w:t>Asciminib in Chronic Myeloid Leukemia after ABL Kinase Inhibitor Failure | NEJM</w:t>
        </w:r>
      </w:hyperlink>
    </w:p>
  </w:comment>
  <w:comment w:id="56" w:author="Henrik Hjorth-Hansen [2]" w:date="2018-01-06T21:28:00Z" w:initials="HH">
    <w:p w14:paraId="68768EEC" w14:textId="1F617C9F" w:rsidR="00844097" w:rsidRDefault="00844097">
      <w:pPr>
        <w:pStyle w:val="CommentText"/>
      </w:pPr>
      <w:r>
        <w:rPr>
          <w:rStyle w:val="CommentReference"/>
        </w:rPr>
        <w:annotationRef/>
      </w:r>
      <w:r w:rsidRPr="003B0698">
        <w:t>Mahon FX Lancet oncology 2010  dette er referanse 8 i dette manuset</w:t>
      </w:r>
    </w:p>
    <w:p w14:paraId="15304ED5" w14:textId="5E7BC394" w:rsidR="00844097" w:rsidRPr="00492E7D" w:rsidRDefault="00844097" w:rsidP="005E067C">
      <w:pPr>
        <w:pStyle w:val="c-author-listitem"/>
        <w:numPr>
          <w:ilvl w:val="0"/>
          <w:numId w:val="18"/>
        </w:numPr>
        <w:shd w:val="clear" w:color="auto" w:fill="FCFCFC"/>
        <w:spacing w:before="0" w:beforeAutospacing="0" w:after="0" w:afterAutospacing="0"/>
        <w:rPr>
          <w:rFonts w:ascii="Segoe UI" w:hAnsi="Segoe UI" w:cs="Segoe UI"/>
          <w:color w:val="333333"/>
          <w:lang w:val="en-US"/>
        </w:rPr>
      </w:pPr>
      <w:r w:rsidRPr="00492E7D">
        <w:rPr>
          <w:lang w:val="en-US"/>
        </w:rPr>
        <w:t>Kunne lagt inn</w:t>
      </w:r>
      <w:r>
        <w:rPr>
          <w:lang w:val="en-US"/>
        </w:rPr>
        <w:t xml:space="preserve"> Laneuville </w:t>
      </w:r>
      <w:hyperlink r:id="rId8" w:history="1">
        <w:r w:rsidRPr="00492E7D">
          <w:rPr>
            <w:rStyle w:val="Hyperlink"/>
            <w:rFonts w:ascii="Segoe UI" w:hAnsi="Segoe UI" w:cs="Segoe UI"/>
            <w:i/>
            <w:iCs/>
            <w:color w:val="A345C9"/>
            <w:lang w:val="en-US"/>
          </w:rPr>
          <w:t>Current Treatment Options in Oncology</w:t>
        </w:r>
      </w:hyperlink>
      <w:r w:rsidRPr="00492E7D">
        <w:rPr>
          <w:rFonts w:ascii="Segoe UI" w:hAnsi="Segoe UI" w:cs="Segoe UI"/>
          <w:color w:val="333333"/>
          <w:lang w:val="en-US"/>
        </w:rPr>
        <w:t> </w:t>
      </w:r>
      <w:r w:rsidRPr="00492E7D">
        <w:rPr>
          <w:rStyle w:val="u-visually-hidden"/>
          <w:rFonts w:ascii="Segoe UI" w:hAnsi="Segoe UI" w:cs="Segoe UI"/>
          <w:b/>
          <w:bCs/>
          <w:color w:val="333333"/>
          <w:bdr w:val="none" w:sz="0" w:space="0" w:color="auto" w:frame="1"/>
          <w:lang w:val="en-US"/>
        </w:rPr>
        <w:t>volume</w:t>
      </w:r>
      <w:r w:rsidRPr="00492E7D">
        <w:rPr>
          <w:rFonts w:ascii="Segoe UI" w:hAnsi="Segoe UI" w:cs="Segoe UI"/>
          <w:b/>
          <w:bCs/>
          <w:color w:val="333333"/>
          <w:lang w:val="en-US"/>
        </w:rPr>
        <w:t> 19</w:t>
      </w:r>
      <w:r w:rsidRPr="00492E7D">
        <w:rPr>
          <w:rFonts w:ascii="Segoe UI" w:hAnsi="Segoe UI" w:cs="Segoe UI"/>
          <w:color w:val="333333"/>
          <w:lang w:val="en-US"/>
        </w:rPr>
        <w:t>, Article number: 15 (2018) </w:t>
      </w:r>
    </w:p>
    <w:p w14:paraId="79F6B181" w14:textId="794CEFD5" w:rsidR="00844097" w:rsidRPr="00492E7D" w:rsidRDefault="00844097">
      <w:pPr>
        <w:pStyle w:val="CommentText"/>
        <w:rPr>
          <w:lang w:val="en-US"/>
        </w:rPr>
      </w:pPr>
    </w:p>
    <w:p w14:paraId="1B284513" w14:textId="77777777" w:rsidR="00844097" w:rsidRPr="00492E7D" w:rsidRDefault="00844097">
      <w:pPr>
        <w:pStyle w:val="CommentText"/>
        <w:rPr>
          <w:lang w:val="en-US"/>
        </w:rPr>
      </w:pPr>
    </w:p>
  </w:comment>
  <w:comment w:id="57" w:author="Henrik Hjorth-Hansen [2]" w:date="2018-01-06T21:29:00Z" w:initials="HH">
    <w:p w14:paraId="01F94CFF" w14:textId="77777777" w:rsidR="00844097" w:rsidRPr="00E9546D" w:rsidRDefault="00844097" w:rsidP="005D12E3">
      <w:pPr>
        <w:pBdr>
          <w:top w:val="nil"/>
          <w:left w:val="nil"/>
          <w:bottom w:val="nil"/>
          <w:right w:val="nil"/>
          <w:between w:val="nil"/>
        </w:pBdr>
        <w:spacing w:before="80" w:after="80" w:line="360" w:lineRule="auto"/>
        <w:rPr>
          <w:rFonts w:ascii="Calibri" w:eastAsia="Arial Unicode MS" w:hAnsi="Calibri" w:cs="Calibri"/>
          <w:b/>
          <w:sz w:val="24"/>
          <w:szCs w:val="24"/>
          <w:lang w:val="en-US" w:eastAsia="de-DE"/>
        </w:rPr>
      </w:pPr>
      <w:r>
        <w:rPr>
          <w:rStyle w:val="CommentReference"/>
        </w:rPr>
        <w:annotationRef/>
      </w:r>
      <w:r w:rsidRPr="00E9546D">
        <w:rPr>
          <w:rFonts w:ascii="Calibri" w:eastAsia="Arial Unicode MS" w:hAnsi="Calibri" w:cs="Calibri"/>
          <w:b/>
          <w:sz w:val="24"/>
          <w:szCs w:val="24"/>
          <w:lang w:val="en-US" w:eastAsia="de-DE"/>
        </w:rPr>
        <w:t>DISCONTINUATION OF TREATMENT IN CHRONIC MYELOID LEUKAEMIA – THE EURO-SKI TRIAL</w:t>
      </w:r>
    </w:p>
    <w:p w14:paraId="72EEB1D5" w14:textId="7C248078" w:rsidR="00844097" w:rsidRPr="00492E7D" w:rsidRDefault="00844097" w:rsidP="005D12E3">
      <w:pPr>
        <w:pStyle w:val="CommentText"/>
        <w:rPr>
          <w:lang w:val="fr-FR"/>
        </w:rPr>
      </w:pPr>
      <w:r w:rsidRPr="00492E7D">
        <w:rPr>
          <w:rFonts w:ascii="Calibri" w:eastAsia="Times New Roman" w:hAnsi="Calibri" w:cs="Calibri"/>
          <w:bCs/>
          <w:noProof/>
          <w:lang w:val="fr-FR" w:eastAsia="de-DE"/>
        </w:rPr>
        <w:t>Saussele et al</w:t>
      </w:r>
      <w:r w:rsidRPr="00492E7D">
        <w:rPr>
          <w:lang w:val="fr-FR"/>
        </w:rPr>
        <w:t xml:space="preserve">  Lancet Oncology </w:t>
      </w:r>
      <w:r>
        <w:rPr>
          <w:lang w:val="fr-FR"/>
        </w:rPr>
        <w:t>2018</w:t>
      </w:r>
    </w:p>
  </w:comment>
  <w:comment w:id="58" w:author="Henrik Hjorth-Hansen [2]" w:date="2018-01-06T21:30:00Z" w:initials="HH">
    <w:p w14:paraId="393A7663" w14:textId="738EE597" w:rsidR="00844097" w:rsidRPr="00D05473" w:rsidRDefault="00844097">
      <w:pPr>
        <w:pStyle w:val="CommentText"/>
        <w:rPr>
          <w:lang w:val="fr-FR"/>
        </w:rPr>
      </w:pPr>
      <w:r>
        <w:rPr>
          <w:rStyle w:val="CommentReference"/>
        </w:rPr>
        <w:annotationRef/>
      </w:r>
      <w:r w:rsidRPr="00D05473">
        <w:rPr>
          <w:lang w:val="fr-FR"/>
        </w:rPr>
        <w:t>aSTIM: Rousselot  JCO 2014</w:t>
      </w:r>
    </w:p>
  </w:comment>
  <w:comment w:id="59" w:author="Henrik Hjorth-Hansen [2]" w:date="2017-12-06T13:25:00Z" w:initials="HH">
    <w:p w14:paraId="3AA3E0B9" w14:textId="1C142AD7" w:rsidR="00844097" w:rsidRPr="00492E7D" w:rsidRDefault="00844097" w:rsidP="00D05473">
      <w:pPr>
        <w:pStyle w:val="CommentText"/>
        <w:rPr>
          <w:lang w:val="fr-FR"/>
        </w:rPr>
      </w:pPr>
      <w:r>
        <w:rPr>
          <w:rStyle w:val="CommentReference"/>
        </w:rPr>
        <w:annotationRef/>
      </w:r>
      <w:r w:rsidRPr="00492E7D">
        <w:rPr>
          <w:lang w:val="fr-FR"/>
        </w:rPr>
        <w:t xml:space="preserve">Rousselot </w:t>
      </w:r>
      <w:hyperlink r:id="rId9" w:tooltip="Journal of clinical oncology : official journal of the American Society of Clinical Oncology." w:history="1">
        <w:r w:rsidRPr="00492E7D">
          <w:rPr>
            <w:rStyle w:val="Hyperlink"/>
            <w:lang w:val="fr-FR"/>
          </w:rPr>
          <w:t>J Clin Oncol.</w:t>
        </w:r>
      </w:hyperlink>
      <w:r w:rsidRPr="00492E7D">
        <w:rPr>
          <w:lang w:val="fr-FR"/>
        </w:rPr>
        <w:t xml:space="preserve"> 2014 Feb 10;32(5):424-30.</w:t>
      </w:r>
    </w:p>
  </w:comment>
  <w:comment w:id="60" w:author="Henrik Hjorth-Hansen" w:date="2021-02-02T21:34:00Z" w:initials="HH">
    <w:p w14:paraId="688F93FB" w14:textId="416AC58A" w:rsidR="0050725A" w:rsidRDefault="0050725A">
      <w:pPr>
        <w:pStyle w:val="CommentText"/>
      </w:pPr>
      <w:r>
        <w:rPr>
          <w:rStyle w:val="CommentReference"/>
        </w:rPr>
        <w:annotationRef/>
      </w:r>
      <w:r w:rsidRPr="001A0E99">
        <w:t>Ref Hochhaus Leukemia 2020 og</w:t>
      </w:r>
    </w:p>
  </w:comment>
  <w:comment w:id="61" w:author="Henrik Hjorth-Hansen" w:date="2021-01-09T22:46:00Z" w:initials="HH">
    <w:p w14:paraId="590C99B4" w14:textId="76EFCCC5" w:rsidR="00844097" w:rsidRPr="001A0E99" w:rsidRDefault="00844097">
      <w:pPr>
        <w:pStyle w:val="CommentText"/>
      </w:pPr>
      <w:r>
        <w:rPr>
          <w:rStyle w:val="CommentReference"/>
        </w:rPr>
        <w:annotationRef/>
      </w:r>
      <w:r w:rsidRPr="001A0E99">
        <w:t xml:space="preserve"> Richter et al  Leukemia (i</w:t>
      </w:r>
      <w:r>
        <w:t xml:space="preserve">n press)  Vi får snart </w:t>
      </w:r>
    </w:p>
  </w:comment>
  <w:comment w:id="64" w:author="Henrik Hjorth-Hansen" w:date="2021-01-31T22:39:00Z" w:initials="HH">
    <w:p w14:paraId="74A5725F" w14:textId="75D9D495" w:rsidR="00070CA3" w:rsidRDefault="00070CA3">
      <w:pPr>
        <w:pStyle w:val="CommentText"/>
      </w:pPr>
      <w:r>
        <w:rPr>
          <w:rStyle w:val="CommentReference"/>
        </w:rPr>
        <w:annotationRef/>
      </w:r>
      <w:r>
        <w:t>erstattes</w:t>
      </w:r>
    </w:p>
  </w:comment>
  <w:comment w:id="65" w:author="Henrik Hjorth-Hansen" w:date="2021-01-31T22:39:00Z" w:initials="HH">
    <w:p w14:paraId="40BD3CC2" w14:textId="15E44645" w:rsidR="00070CA3" w:rsidRDefault="00070CA3">
      <w:pPr>
        <w:pStyle w:val="CommentText"/>
      </w:pPr>
      <w:r>
        <w:rPr>
          <w:rStyle w:val="CommentReference"/>
        </w:rPr>
        <w:annotationRef/>
      </w:r>
      <w:r>
        <w:t>erstattes</w:t>
      </w:r>
    </w:p>
  </w:comment>
  <w:comment w:id="66" w:author="Henrik Hjorth-Hansen" w:date="2021-01-31T22:40:00Z" w:initials="HH">
    <w:p w14:paraId="7168886D" w14:textId="251B5CCB" w:rsidR="00070CA3" w:rsidRDefault="00070CA3">
      <w:pPr>
        <w:pStyle w:val="CommentText"/>
      </w:pPr>
      <w:r>
        <w:rPr>
          <w:rStyle w:val="CommentReference"/>
        </w:rPr>
        <w:annotationRef/>
      </w:r>
      <w:r>
        <w:t>erstattes</w:t>
      </w:r>
    </w:p>
  </w:comment>
  <w:comment w:id="67" w:author="Henrik Hjorth-Hansen" w:date="2021-01-31T22:40:00Z" w:initials="HH">
    <w:p w14:paraId="25C3B063" w14:textId="5355D322" w:rsidR="00070CA3" w:rsidRDefault="00070CA3">
      <w:pPr>
        <w:pStyle w:val="CommentText"/>
      </w:pPr>
      <w:r>
        <w:rPr>
          <w:rStyle w:val="CommentReference"/>
        </w:rPr>
        <w:annotationRef/>
      </w:r>
      <w:r>
        <w:t>erstattes</w:t>
      </w:r>
    </w:p>
  </w:comment>
  <w:comment w:id="68" w:author="Henrik Hjorth-Hansen" w:date="2021-01-31T22:40:00Z" w:initials="HH">
    <w:p w14:paraId="1E9194D9" w14:textId="5FC6B0FF" w:rsidR="00070CA3" w:rsidRDefault="00070CA3">
      <w:pPr>
        <w:pStyle w:val="CommentText"/>
      </w:pPr>
      <w:r>
        <w:rPr>
          <w:rStyle w:val="CommentReference"/>
        </w:rPr>
        <w:annotationRef/>
      </w:r>
      <w:r>
        <w:t>erstattes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62896A" w15:done="0"/>
  <w15:commentEx w15:paraId="4DC7E09F" w15:paraIdParent="1F62896A" w15:done="0"/>
  <w15:commentEx w15:paraId="6EA0FC27" w15:done="0"/>
  <w15:commentEx w15:paraId="75B3B88C" w15:done="0"/>
  <w15:commentEx w15:paraId="52D83A3B" w15:done="0"/>
  <w15:commentEx w15:paraId="69E39898" w15:done="0"/>
  <w15:commentEx w15:paraId="4346CC16" w15:done="0"/>
  <w15:commentEx w15:paraId="493AB7CA" w15:done="0"/>
  <w15:commentEx w15:paraId="538B2BDA" w15:done="0"/>
  <w15:commentEx w15:paraId="12BBB1FA" w15:done="0"/>
  <w15:commentEx w15:paraId="25B4AE3E" w15:done="0"/>
  <w15:commentEx w15:paraId="24B44A4A" w15:done="0"/>
  <w15:commentEx w15:paraId="592828AE" w15:paraIdParent="24B44A4A" w15:done="0"/>
  <w15:commentEx w15:paraId="4EB44159" w15:done="0"/>
  <w15:commentEx w15:paraId="12FA4B92" w15:done="0"/>
  <w15:commentEx w15:paraId="1B284513" w15:done="0"/>
  <w15:commentEx w15:paraId="72EEB1D5" w15:done="0"/>
  <w15:commentEx w15:paraId="393A7663" w15:done="0"/>
  <w15:commentEx w15:paraId="3AA3E0B9" w15:done="0"/>
  <w15:commentEx w15:paraId="688F93FB" w15:done="0"/>
  <w15:commentEx w15:paraId="590C99B4" w15:done="0"/>
  <w15:commentEx w15:paraId="74A5725F" w15:done="0"/>
  <w15:commentEx w15:paraId="40BD3CC2" w15:done="0"/>
  <w15:commentEx w15:paraId="7168886D" w15:done="0"/>
  <w15:commentEx w15:paraId="25C3B063" w15:done="0"/>
  <w15:commentEx w15:paraId="1E9194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62896A" w16cid:durableId="23A45963"/>
  <w16cid:commentId w16cid:paraId="4DC7E09F" w16cid:durableId="23A45964"/>
  <w16cid:commentId w16cid:paraId="6EA0FC27" w16cid:durableId="23C1A875"/>
  <w16cid:commentId w16cid:paraId="75B3B88C" w16cid:durableId="23C1AB54"/>
  <w16cid:commentId w16cid:paraId="52D83A3B" w16cid:durableId="23A45BB6"/>
  <w16cid:commentId w16cid:paraId="69E39898" w16cid:durableId="20845D32"/>
  <w16cid:commentId w16cid:paraId="4346CC16" w16cid:durableId="23C44700"/>
  <w16cid:commentId w16cid:paraId="493AB7CA" w16cid:durableId="23C1ADED"/>
  <w16cid:commentId w16cid:paraId="538B2BDA" w16cid:durableId="20845208"/>
  <w16cid:commentId w16cid:paraId="12BBB1FA" w16cid:durableId="23C19E77"/>
  <w16cid:commentId w16cid:paraId="25B4AE3E" w16cid:durableId="23A49379"/>
  <w16cid:commentId w16cid:paraId="24B44A4A" w16cid:durableId="20845209"/>
  <w16cid:commentId w16cid:paraId="592828AE" w16cid:durableId="23C18E7B"/>
  <w16cid:commentId w16cid:paraId="4EB44159" w16cid:durableId="2084520A"/>
  <w16cid:commentId w16cid:paraId="12FA4B92" w16cid:durableId="23C19ECC"/>
  <w16cid:commentId w16cid:paraId="1B284513" w16cid:durableId="2084520B"/>
  <w16cid:commentId w16cid:paraId="72EEB1D5" w16cid:durableId="2084520C"/>
  <w16cid:commentId w16cid:paraId="393A7663" w16cid:durableId="2084520D"/>
  <w16cid:commentId w16cid:paraId="3AA3E0B9" w16cid:durableId="2084520E"/>
  <w16cid:commentId w16cid:paraId="688F93FB" w16cid:durableId="23C443DE"/>
  <w16cid:commentId w16cid:paraId="590C99B4" w16cid:durableId="23A4B0C7"/>
  <w16cid:commentId w16cid:paraId="74A5725F" w16cid:durableId="23C1B017"/>
  <w16cid:commentId w16cid:paraId="40BD3CC2" w16cid:durableId="23C1B026"/>
  <w16cid:commentId w16cid:paraId="7168886D" w16cid:durableId="23C1B04E"/>
  <w16cid:commentId w16cid:paraId="25C3B063" w16cid:durableId="23C1B05D"/>
  <w16cid:commentId w16cid:paraId="1E9194D9" w16cid:durableId="23C1B0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498EC" w14:textId="77777777" w:rsidR="00FB0832" w:rsidRDefault="00FB0832" w:rsidP="00EE1DF9">
      <w:pPr>
        <w:spacing w:after="0" w:line="240" w:lineRule="auto"/>
      </w:pPr>
      <w:r>
        <w:separator/>
      </w:r>
    </w:p>
  </w:endnote>
  <w:endnote w:type="continuationSeparator" w:id="0">
    <w:p w14:paraId="0229908C" w14:textId="77777777" w:rsidR="00FB0832" w:rsidRDefault="00FB0832" w:rsidP="00EE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f9433e2d">
    <w:altName w:val="Cambria"/>
    <w:panose1 w:val="00000000000000000000"/>
    <w:charset w:val="00"/>
    <w:family w:val="roman"/>
    <w:notTrueType/>
    <w:pitch w:val="default"/>
    <w:sig w:usb0="00000003" w:usb1="00000000" w:usb2="00000000" w:usb3="00000000" w:csb0="00000001" w:csb1="00000000"/>
  </w:font>
  <w:font w:name="AdvOTf9433e2d+fb">
    <w:altName w:val="Calibri"/>
    <w:panose1 w:val="00000000000000000000"/>
    <w:charset w:val="00"/>
    <w:family w:val="auto"/>
    <w:notTrueType/>
    <w:pitch w:val="default"/>
    <w:sig w:usb0="00000003" w:usb1="00000000" w:usb2="00000000" w:usb3="00000000" w:csb0="00000001" w:csb1="00000000"/>
  </w:font>
  <w:font w:name="AdvOTf9433e2d+20">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89FD9" w14:textId="77777777" w:rsidR="00FB0832" w:rsidRDefault="00FB0832" w:rsidP="00EE1DF9">
      <w:pPr>
        <w:spacing w:after="0" w:line="240" w:lineRule="auto"/>
      </w:pPr>
      <w:r>
        <w:separator/>
      </w:r>
    </w:p>
  </w:footnote>
  <w:footnote w:type="continuationSeparator" w:id="0">
    <w:p w14:paraId="02F2EF3A" w14:textId="77777777" w:rsidR="00FB0832" w:rsidRDefault="00FB0832" w:rsidP="00EE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097B"/>
    <w:multiLevelType w:val="hybridMultilevel"/>
    <w:tmpl w:val="EDEC1F76"/>
    <w:lvl w:ilvl="0" w:tplc="04090001">
      <w:start w:val="1"/>
      <w:numFmt w:val="bullet"/>
      <w:lvlText w:val=""/>
      <w:lvlJc w:val="left"/>
      <w:pPr>
        <w:ind w:left="1350" w:hanging="360"/>
      </w:pPr>
      <w:rPr>
        <w:rFonts w:ascii="Symbol" w:hAnsi="Symbol" w:hint="default"/>
      </w:rPr>
    </w:lvl>
    <w:lvl w:ilvl="1" w:tplc="04140003">
      <w:start w:val="1"/>
      <w:numFmt w:val="bullet"/>
      <w:lvlText w:val="o"/>
      <w:lvlJc w:val="left"/>
      <w:pPr>
        <w:ind w:left="2070" w:hanging="360"/>
      </w:pPr>
      <w:rPr>
        <w:rFonts w:ascii="Courier New" w:hAnsi="Courier New" w:hint="default"/>
      </w:rPr>
    </w:lvl>
    <w:lvl w:ilvl="2" w:tplc="04140005">
      <w:start w:val="1"/>
      <w:numFmt w:val="bullet"/>
      <w:lvlText w:val=""/>
      <w:lvlJc w:val="left"/>
      <w:pPr>
        <w:ind w:left="2790" w:hanging="360"/>
      </w:pPr>
      <w:rPr>
        <w:rFonts w:ascii="Wingdings" w:hAnsi="Wingdings" w:hint="default"/>
      </w:rPr>
    </w:lvl>
    <w:lvl w:ilvl="3" w:tplc="04140001">
      <w:start w:val="1"/>
      <w:numFmt w:val="bullet"/>
      <w:lvlText w:val=""/>
      <w:lvlJc w:val="left"/>
      <w:pPr>
        <w:ind w:left="3510" w:hanging="360"/>
      </w:pPr>
      <w:rPr>
        <w:rFonts w:ascii="Symbol" w:hAnsi="Symbol" w:hint="default"/>
      </w:rPr>
    </w:lvl>
    <w:lvl w:ilvl="4" w:tplc="04140003">
      <w:start w:val="1"/>
      <w:numFmt w:val="bullet"/>
      <w:lvlText w:val="o"/>
      <w:lvlJc w:val="left"/>
      <w:pPr>
        <w:ind w:left="4230" w:hanging="360"/>
      </w:pPr>
      <w:rPr>
        <w:rFonts w:ascii="Courier New" w:hAnsi="Courier New" w:hint="default"/>
      </w:rPr>
    </w:lvl>
    <w:lvl w:ilvl="5" w:tplc="04140005">
      <w:start w:val="1"/>
      <w:numFmt w:val="bullet"/>
      <w:lvlText w:val=""/>
      <w:lvlJc w:val="left"/>
      <w:pPr>
        <w:ind w:left="4950" w:hanging="360"/>
      </w:pPr>
      <w:rPr>
        <w:rFonts w:ascii="Wingdings" w:hAnsi="Wingdings" w:hint="default"/>
      </w:rPr>
    </w:lvl>
    <w:lvl w:ilvl="6" w:tplc="04140001">
      <w:start w:val="1"/>
      <w:numFmt w:val="bullet"/>
      <w:lvlText w:val=""/>
      <w:lvlJc w:val="left"/>
      <w:pPr>
        <w:ind w:left="5670" w:hanging="360"/>
      </w:pPr>
      <w:rPr>
        <w:rFonts w:ascii="Symbol" w:hAnsi="Symbol" w:hint="default"/>
      </w:rPr>
    </w:lvl>
    <w:lvl w:ilvl="7" w:tplc="04140003">
      <w:start w:val="1"/>
      <w:numFmt w:val="bullet"/>
      <w:lvlText w:val="o"/>
      <w:lvlJc w:val="left"/>
      <w:pPr>
        <w:ind w:left="6390" w:hanging="360"/>
      </w:pPr>
      <w:rPr>
        <w:rFonts w:ascii="Courier New" w:hAnsi="Courier New" w:hint="default"/>
      </w:rPr>
    </w:lvl>
    <w:lvl w:ilvl="8" w:tplc="04140005">
      <w:start w:val="1"/>
      <w:numFmt w:val="bullet"/>
      <w:lvlText w:val=""/>
      <w:lvlJc w:val="left"/>
      <w:pPr>
        <w:ind w:left="7110" w:hanging="360"/>
      </w:pPr>
      <w:rPr>
        <w:rFonts w:ascii="Wingdings" w:hAnsi="Wingdings" w:hint="default"/>
      </w:rPr>
    </w:lvl>
  </w:abstractNum>
  <w:abstractNum w:abstractNumId="1" w15:restartNumberingAfterBreak="0">
    <w:nsid w:val="0F875C9B"/>
    <w:multiLevelType w:val="hybridMultilevel"/>
    <w:tmpl w:val="FF4CAD0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CF17D02"/>
    <w:multiLevelType w:val="hybridMultilevel"/>
    <w:tmpl w:val="01C079D8"/>
    <w:lvl w:ilvl="0" w:tplc="8F9CB84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1074D"/>
    <w:multiLevelType w:val="hybridMultilevel"/>
    <w:tmpl w:val="A12CBD68"/>
    <w:lvl w:ilvl="0" w:tplc="04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840638A"/>
    <w:multiLevelType w:val="hybridMultilevel"/>
    <w:tmpl w:val="FA9CC166"/>
    <w:lvl w:ilvl="0" w:tplc="8F9CB844">
      <w:numFmt w:val="bullet"/>
      <w:lvlText w:val="-"/>
      <w:lvlJc w:val="left"/>
      <w:pPr>
        <w:ind w:left="1287" w:hanging="360"/>
      </w:pPr>
      <w:rPr>
        <w:rFonts w:ascii="Times New Roman" w:eastAsia="Times New Roman" w:hAnsi="Times New Roman" w:hint="default"/>
      </w:rPr>
    </w:lvl>
    <w:lvl w:ilvl="1" w:tplc="04140003">
      <w:start w:val="1"/>
      <w:numFmt w:val="bullet"/>
      <w:lvlText w:val="o"/>
      <w:lvlJc w:val="left"/>
      <w:pPr>
        <w:ind w:left="2007" w:hanging="360"/>
      </w:pPr>
      <w:rPr>
        <w:rFonts w:ascii="Courier New" w:hAnsi="Courier New" w:hint="default"/>
      </w:rPr>
    </w:lvl>
    <w:lvl w:ilvl="2" w:tplc="04140005">
      <w:start w:val="1"/>
      <w:numFmt w:val="bullet"/>
      <w:lvlText w:val=""/>
      <w:lvlJc w:val="left"/>
      <w:pPr>
        <w:ind w:left="2727" w:hanging="360"/>
      </w:pPr>
      <w:rPr>
        <w:rFonts w:ascii="Wingdings" w:hAnsi="Wingdings" w:hint="default"/>
      </w:rPr>
    </w:lvl>
    <w:lvl w:ilvl="3" w:tplc="04140001">
      <w:start w:val="1"/>
      <w:numFmt w:val="bullet"/>
      <w:lvlText w:val=""/>
      <w:lvlJc w:val="left"/>
      <w:pPr>
        <w:ind w:left="3447" w:hanging="360"/>
      </w:pPr>
      <w:rPr>
        <w:rFonts w:ascii="Symbol" w:hAnsi="Symbol" w:hint="default"/>
      </w:rPr>
    </w:lvl>
    <w:lvl w:ilvl="4" w:tplc="04140003">
      <w:start w:val="1"/>
      <w:numFmt w:val="bullet"/>
      <w:lvlText w:val="o"/>
      <w:lvlJc w:val="left"/>
      <w:pPr>
        <w:ind w:left="4167" w:hanging="360"/>
      </w:pPr>
      <w:rPr>
        <w:rFonts w:ascii="Courier New" w:hAnsi="Courier New" w:hint="default"/>
      </w:rPr>
    </w:lvl>
    <w:lvl w:ilvl="5" w:tplc="04140005">
      <w:start w:val="1"/>
      <w:numFmt w:val="bullet"/>
      <w:lvlText w:val=""/>
      <w:lvlJc w:val="left"/>
      <w:pPr>
        <w:ind w:left="4887" w:hanging="360"/>
      </w:pPr>
      <w:rPr>
        <w:rFonts w:ascii="Wingdings" w:hAnsi="Wingdings" w:hint="default"/>
      </w:rPr>
    </w:lvl>
    <w:lvl w:ilvl="6" w:tplc="04140001">
      <w:start w:val="1"/>
      <w:numFmt w:val="bullet"/>
      <w:lvlText w:val=""/>
      <w:lvlJc w:val="left"/>
      <w:pPr>
        <w:ind w:left="5607" w:hanging="360"/>
      </w:pPr>
      <w:rPr>
        <w:rFonts w:ascii="Symbol" w:hAnsi="Symbol" w:hint="default"/>
      </w:rPr>
    </w:lvl>
    <w:lvl w:ilvl="7" w:tplc="04140003">
      <w:start w:val="1"/>
      <w:numFmt w:val="bullet"/>
      <w:lvlText w:val="o"/>
      <w:lvlJc w:val="left"/>
      <w:pPr>
        <w:ind w:left="6327" w:hanging="360"/>
      </w:pPr>
      <w:rPr>
        <w:rFonts w:ascii="Courier New" w:hAnsi="Courier New" w:hint="default"/>
      </w:rPr>
    </w:lvl>
    <w:lvl w:ilvl="8" w:tplc="04140005">
      <w:start w:val="1"/>
      <w:numFmt w:val="bullet"/>
      <w:lvlText w:val=""/>
      <w:lvlJc w:val="left"/>
      <w:pPr>
        <w:ind w:left="7047" w:hanging="360"/>
      </w:pPr>
      <w:rPr>
        <w:rFonts w:ascii="Wingdings" w:hAnsi="Wingdings" w:hint="default"/>
      </w:rPr>
    </w:lvl>
  </w:abstractNum>
  <w:abstractNum w:abstractNumId="5" w15:restartNumberingAfterBreak="0">
    <w:nsid w:val="29891932"/>
    <w:multiLevelType w:val="hybridMultilevel"/>
    <w:tmpl w:val="995CCC4E"/>
    <w:lvl w:ilvl="0" w:tplc="04090001">
      <w:start w:val="1"/>
      <w:numFmt w:val="bullet"/>
      <w:lvlText w:val=""/>
      <w:lvlJc w:val="left"/>
      <w:pPr>
        <w:tabs>
          <w:tab w:val="num" w:pos="720"/>
        </w:tabs>
        <w:ind w:left="720" w:hanging="360"/>
      </w:pPr>
      <w:rPr>
        <w:rFonts w:ascii="Symbol" w:hAnsi="Symbol" w:hint="default"/>
      </w:rPr>
    </w:lvl>
    <w:lvl w:ilvl="1" w:tplc="8F9CB844">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944FC"/>
    <w:multiLevelType w:val="hybridMultilevel"/>
    <w:tmpl w:val="50F6616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7" w15:restartNumberingAfterBreak="0">
    <w:nsid w:val="4A641E00"/>
    <w:multiLevelType w:val="hybridMultilevel"/>
    <w:tmpl w:val="3506AF46"/>
    <w:lvl w:ilvl="0" w:tplc="04090001">
      <w:start w:val="1"/>
      <w:numFmt w:val="bullet"/>
      <w:lvlText w:val=""/>
      <w:lvlJc w:val="left"/>
      <w:pPr>
        <w:tabs>
          <w:tab w:val="num" w:pos="644"/>
        </w:tabs>
        <w:ind w:left="644" w:hanging="360"/>
      </w:pPr>
      <w:rPr>
        <w:rFonts w:ascii="Symbol" w:hAnsi="Symbol" w:hint="default"/>
      </w:rPr>
    </w:lvl>
    <w:lvl w:ilvl="1" w:tplc="8F9CB844">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BE0091C"/>
    <w:multiLevelType w:val="hybridMultilevel"/>
    <w:tmpl w:val="49826B50"/>
    <w:lvl w:ilvl="0" w:tplc="7C507A4C">
      <w:start w:val="1"/>
      <w:numFmt w:val="bullet"/>
      <w:lvlText w:val="-"/>
      <w:lvlJc w:val="left"/>
      <w:pPr>
        <w:ind w:left="1287" w:hanging="360"/>
      </w:pPr>
      <w:rPr>
        <w:rFonts w:ascii="Times New Roman" w:eastAsia="Times New Roman" w:hAnsi="Times New Roman" w:hint="default"/>
      </w:rPr>
    </w:lvl>
    <w:lvl w:ilvl="1" w:tplc="04140003">
      <w:start w:val="1"/>
      <w:numFmt w:val="bullet"/>
      <w:lvlText w:val="o"/>
      <w:lvlJc w:val="left"/>
      <w:pPr>
        <w:ind w:left="2007" w:hanging="360"/>
      </w:pPr>
      <w:rPr>
        <w:rFonts w:ascii="Courier New" w:hAnsi="Courier New" w:hint="default"/>
      </w:rPr>
    </w:lvl>
    <w:lvl w:ilvl="2" w:tplc="04140005">
      <w:start w:val="1"/>
      <w:numFmt w:val="bullet"/>
      <w:lvlText w:val=""/>
      <w:lvlJc w:val="left"/>
      <w:pPr>
        <w:ind w:left="2727" w:hanging="360"/>
      </w:pPr>
      <w:rPr>
        <w:rFonts w:ascii="Wingdings" w:hAnsi="Wingdings" w:hint="default"/>
      </w:rPr>
    </w:lvl>
    <w:lvl w:ilvl="3" w:tplc="04140001">
      <w:start w:val="1"/>
      <w:numFmt w:val="bullet"/>
      <w:lvlText w:val=""/>
      <w:lvlJc w:val="left"/>
      <w:pPr>
        <w:ind w:left="3447" w:hanging="360"/>
      </w:pPr>
      <w:rPr>
        <w:rFonts w:ascii="Symbol" w:hAnsi="Symbol" w:hint="default"/>
      </w:rPr>
    </w:lvl>
    <w:lvl w:ilvl="4" w:tplc="04140003">
      <w:start w:val="1"/>
      <w:numFmt w:val="bullet"/>
      <w:lvlText w:val="o"/>
      <w:lvlJc w:val="left"/>
      <w:pPr>
        <w:ind w:left="4167" w:hanging="360"/>
      </w:pPr>
      <w:rPr>
        <w:rFonts w:ascii="Courier New" w:hAnsi="Courier New" w:hint="default"/>
      </w:rPr>
    </w:lvl>
    <w:lvl w:ilvl="5" w:tplc="04140005">
      <w:start w:val="1"/>
      <w:numFmt w:val="bullet"/>
      <w:lvlText w:val=""/>
      <w:lvlJc w:val="left"/>
      <w:pPr>
        <w:ind w:left="4887" w:hanging="360"/>
      </w:pPr>
      <w:rPr>
        <w:rFonts w:ascii="Wingdings" w:hAnsi="Wingdings" w:hint="default"/>
      </w:rPr>
    </w:lvl>
    <w:lvl w:ilvl="6" w:tplc="04140001">
      <w:start w:val="1"/>
      <w:numFmt w:val="bullet"/>
      <w:lvlText w:val=""/>
      <w:lvlJc w:val="left"/>
      <w:pPr>
        <w:ind w:left="5607" w:hanging="360"/>
      </w:pPr>
      <w:rPr>
        <w:rFonts w:ascii="Symbol" w:hAnsi="Symbol" w:hint="default"/>
      </w:rPr>
    </w:lvl>
    <w:lvl w:ilvl="7" w:tplc="04140003">
      <w:start w:val="1"/>
      <w:numFmt w:val="bullet"/>
      <w:lvlText w:val="o"/>
      <w:lvlJc w:val="left"/>
      <w:pPr>
        <w:ind w:left="6327" w:hanging="360"/>
      </w:pPr>
      <w:rPr>
        <w:rFonts w:ascii="Courier New" w:hAnsi="Courier New" w:hint="default"/>
      </w:rPr>
    </w:lvl>
    <w:lvl w:ilvl="8" w:tplc="04140005">
      <w:start w:val="1"/>
      <w:numFmt w:val="bullet"/>
      <w:lvlText w:val=""/>
      <w:lvlJc w:val="left"/>
      <w:pPr>
        <w:ind w:left="7047" w:hanging="360"/>
      </w:pPr>
      <w:rPr>
        <w:rFonts w:ascii="Wingdings" w:hAnsi="Wingdings" w:hint="default"/>
      </w:rPr>
    </w:lvl>
  </w:abstractNum>
  <w:abstractNum w:abstractNumId="9" w15:restartNumberingAfterBreak="0">
    <w:nsid w:val="4F786F1C"/>
    <w:multiLevelType w:val="hybridMultilevel"/>
    <w:tmpl w:val="B8460860"/>
    <w:lvl w:ilvl="0" w:tplc="0409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hint="default"/>
      </w:rPr>
    </w:lvl>
    <w:lvl w:ilvl="2" w:tplc="04140005">
      <w:start w:val="1"/>
      <w:numFmt w:val="bullet"/>
      <w:lvlText w:val=""/>
      <w:lvlJc w:val="left"/>
      <w:pPr>
        <w:ind w:left="2727" w:hanging="360"/>
      </w:pPr>
      <w:rPr>
        <w:rFonts w:ascii="Wingdings" w:hAnsi="Wingdings" w:hint="default"/>
      </w:rPr>
    </w:lvl>
    <w:lvl w:ilvl="3" w:tplc="04140001">
      <w:start w:val="1"/>
      <w:numFmt w:val="bullet"/>
      <w:lvlText w:val=""/>
      <w:lvlJc w:val="left"/>
      <w:pPr>
        <w:ind w:left="3447" w:hanging="360"/>
      </w:pPr>
      <w:rPr>
        <w:rFonts w:ascii="Symbol" w:hAnsi="Symbol" w:hint="default"/>
      </w:rPr>
    </w:lvl>
    <w:lvl w:ilvl="4" w:tplc="04140003">
      <w:start w:val="1"/>
      <w:numFmt w:val="bullet"/>
      <w:lvlText w:val="o"/>
      <w:lvlJc w:val="left"/>
      <w:pPr>
        <w:ind w:left="4167" w:hanging="360"/>
      </w:pPr>
      <w:rPr>
        <w:rFonts w:ascii="Courier New" w:hAnsi="Courier New" w:hint="default"/>
      </w:rPr>
    </w:lvl>
    <w:lvl w:ilvl="5" w:tplc="04140005">
      <w:start w:val="1"/>
      <w:numFmt w:val="bullet"/>
      <w:lvlText w:val=""/>
      <w:lvlJc w:val="left"/>
      <w:pPr>
        <w:ind w:left="4887" w:hanging="360"/>
      </w:pPr>
      <w:rPr>
        <w:rFonts w:ascii="Wingdings" w:hAnsi="Wingdings" w:hint="default"/>
      </w:rPr>
    </w:lvl>
    <w:lvl w:ilvl="6" w:tplc="04140001">
      <w:start w:val="1"/>
      <w:numFmt w:val="bullet"/>
      <w:lvlText w:val=""/>
      <w:lvlJc w:val="left"/>
      <w:pPr>
        <w:ind w:left="5607" w:hanging="360"/>
      </w:pPr>
      <w:rPr>
        <w:rFonts w:ascii="Symbol" w:hAnsi="Symbol" w:hint="default"/>
      </w:rPr>
    </w:lvl>
    <w:lvl w:ilvl="7" w:tplc="04140003">
      <w:start w:val="1"/>
      <w:numFmt w:val="bullet"/>
      <w:lvlText w:val="o"/>
      <w:lvlJc w:val="left"/>
      <w:pPr>
        <w:ind w:left="6327" w:hanging="360"/>
      </w:pPr>
      <w:rPr>
        <w:rFonts w:ascii="Courier New" w:hAnsi="Courier New" w:hint="default"/>
      </w:rPr>
    </w:lvl>
    <w:lvl w:ilvl="8" w:tplc="04140005">
      <w:start w:val="1"/>
      <w:numFmt w:val="bullet"/>
      <w:lvlText w:val=""/>
      <w:lvlJc w:val="left"/>
      <w:pPr>
        <w:ind w:left="7047" w:hanging="360"/>
      </w:pPr>
      <w:rPr>
        <w:rFonts w:ascii="Wingdings" w:hAnsi="Wingdings" w:hint="default"/>
      </w:rPr>
    </w:lvl>
  </w:abstractNum>
  <w:abstractNum w:abstractNumId="10" w15:restartNumberingAfterBreak="0">
    <w:nsid w:val="54B6078B"/>
    <w:multiLevelType w:val="hybridMultilevel"/>
    <w:tmpl w:val="3AE6F230"/>
    <w:lvl w:ilvl="0" w:tplc="8F9CB844">
      <w:numFmt w:val="bullet"/>
      <w:lvlText w:val="-"/>
      <w:lvlJc w:val="left"/>
      <w:pPr>
        <w:ind w:left="1287" w:hanging="360"/>
      </w:pPr>
      <w:rPr>
        <w:rFonts w:ascii="Times New Roman" w:eastAsia="Times New Roman" w:hAnsi="Times New Roman" w:hint="default"/>
      </w:rPr>
    </w:lvl>
    <w:lvl w:ilvl="1" w:tplc="04140003">
      <w:start w:val="1"/>
      <w:numFmt w:val="bullet"/>
      <w:lvlText w:val="o"/>
      <w:lvlJc w:val="left"/>
      <w:pPr>
        <w:ind w:left="2007" w:hanging="360"/>
      </w:pPr>
      <w:rPr>
        <w:rFonts w:ascii="Courier New" w:hAnsi="Courier New" w:hint="default"/>
      </w:rPr>
    </w:lvl>
    <w:lvl w:ilvl="2" w:tplc="04140005">
      <w:start w:val="1"/>
      <w:numFmt w:val="bullet"/>
      <w:lvlText w:val=""/>
      <w:lvlJc w:val="left"/>
      <w:pPr>
        <w:ind w:left="2727" w:hanging="360"/>
      </w:pPr>
      <w:rPr>
        <w:rFonts w:ascii="Wingdings" w:hAnsi="Wingdings" w:hint="default"/>
      </w:rPr>
    </w:lvl>
    <w:lvl w:ilvl="3" w:tplc="04140001">
      <w:start w:val="1"/>
      <w:numFmt w:val="bullet"/>
      <w:lvlText w:val=""/>
      <w:lvlJc w:val="left"/>
      <w:pPr>
        <w:ind w:left="3447" w:hanging="360"/>
      </w:pPr>
      <w:rPr>
        <w:rFonts w:ascii="Symbol" w:hAnsi="Symbol" w:hint="default"/>
      </w:rPr>
    </w:lvl>
    <w:lvl w:ilvl="4" w:tplc="04140003">
      <w:start w:val="1"/>
      <w:numFmt w:val="bullet"/>
      <w:lvlText w:val="o"/>
      <w:lvlJc w:val="left"/>
      <w:pPr>
        <w:ind w:left="4167" w:hanging="360"/>
      </w:pPr>
      <w:rPr>
        <w:rFonts w:ascii="Courier New" w:hAnsi="Courier New" w:hint="default"/>
      </w:rPr>
    </w:lvl>
    <w:lvl w:ilvl="5" w:tplc="04140005">
      <w:start w:val="1"/>
      <w:numFmt w:val="bullet"/>
      <w:lvlText w:val=""/>
      <w:lvlJc w:val="left"/>
      <w:pPr>
        <w:ind w:left="4887" w:hanging="360"/>
      </w:pPr>
      <w:rPr>
        <w:rFonts w:ascii="Wingdings" w:hAnsi="Wingdings" w:hint="default"/>
      </w:rPr>
    </w:lvl>
    <w:lvl w:ilvl="6" w:tplc="04140001">
      <w:start w:val="1"/>
      <w:numFmt w:val="bullet"/>
      <w:lvlText w:val=""/>
      <w:lvlJc w:val="left"/>
      <w:pPr>
        <w:ind w:left="5607" w:hanging="360"/>
      </w:pPr>
      <w:rPr>
        <w:rFonts w:ascii="Symbol" w:hAnsi="Symbol" w:hint="default"/>
      </w:rPr>
    </w:lvl>
    <w:lvl w:ilvl="7" w:tplc="04140003">
      <w:start w:val="1"/>
      <w:numFmt w:val="bullet"/>
      <w:lvlText w:val="o"/>
      <w:lvlJc w:val="left"/>
      <w:pPr>
        <w:ind w:left="6327" w:hanging="360"/>
      </w:pPr>
      <w:rPr>
        <w:rFonts w:ascii="Courier New" w:hAnsi="Courier New" w:hint="default"/>
      </w:rPr>
    </w:lvl>
    <w:lvl w:ilvl="8" w:tplc="04140005">
      <w:start w:val="1"/>
      <w:numFmt w:val="bullet"/>
      <w:lvlText w:val=""/>
      <w:lvlJc w:val="left"/>
      <w:pPr>
        <w:ind w:left="7047" w:hanging="360"/>
      </w:pPr>
      <w:rPr>
        <w:rFonts w:ascii="Wingdings" w:hAnsi="Wingdings" w:hint="default"/>
      </w:rPr>
    </w:lvl>
  </w:abstractNum>
  <w:abstractNum w:abstractNumId="11" w15:restartNumberingAfterBreak="0">
    <w:nsid w:val="5E506403"/>
    <w:multiLevelType w:val="hybridMultilevel"/>
    <w:tmpl w:val="874CEDBA"/>
    <w:lvl w:ilvl="0" w:tplc="04140001">
      <w:start w:val="1"/>
      <w:numFmt w:val="bullet"/>
      <w:lvlText w:val=""/>
      <w:lvlJc w:val="left"/>
      <w:pPr>
        <w:tabs>
          <w:tab w:val="num" w:pos="1287"/>
        </w:tabs>
        <w:ind w:left="1287" w:hanging="360"/>
      </w:pPr>
      <w:rPr>
        <w:rFonts w:ascii="Symbol" w:hAnsi="Symbol" w:hint="default"/>
      </w:rPr>
    </w:lvl>
    <w:lvl w:ilvl="1" w:tplc="04140003">
      <w:start w:val="1"/>
      <w:numFmt w:val="bullet"/>
      <w:lvlText w:val="o"/>
      <w:lvlJc w:val="left"/>
      <w:pPr>
        <w:tabs>
          <w:tab w:val="num" w:pos="2007"/>
        </w:tabs>
        <w:ind w:left="2007" w:hanging="360"/>
      </w:pPr>
      <w:rPr>
        <w:rFonts w:ascii="Courier New" w:hAnsi="Courier New" w:hint="default"/>
      </w:rPr>
    </w:lvl>
    <w:lvl w:ilvl="2" w:tplc="04140005">
      <w:start w:val="1"/>
      <w:numFmt w:val="bullet"/>
      <w:lvlText w:val=""/>
      <w:lvlJc w:val="left"/>
      <w:pPr>
        <w:tabs>
          <w:tab w:val="num" w:pos="2727"/>
        </w:tabs>
        <w:ind w:left="2727" w:hanging="360"/>
      </w:pPr>
      <w:rPr>
        <w:rFonts w:ascii="Wingdings" w:hAnsi="Wingdings" w:hint="default"/>
      </w:rPr>
    </w:lvl>
    <w:lvl w:ilvl="3" w:tplc="04140001">
      <w:start w:val="1"/>
      <w:numFmt w:val="bullet"/>
      <w:lvlText w:val=""/>
      <w:lvlJc w:val="left"/>
      <w:pPr>
        <w:tabs>
          <w:tab w:val="num" w:pos="3447"/>
        </w:tabs>
        <w:ind w:left="3447" w:hanging="360"/>
      </w:pPr>
      <w:rPr>
        <w:rFonts w:ascii="Symbol" w:hAnsi="Symbol" w:hint="default"/>
      </w:rPr>
    </w:lvl>
    <w:lvl w:ilvl="4" w:tplc="04140003">
      <w:start w:val="1"/>
      <w:numFmt w:val="bullet"/>
      <w:lvlText w:val="o"/>
      <w:lvlJc w:val="left"/>
      <w:pPr>
        <w:tabs>
          <w:tab w:val="num" w:pos="4167"/>
        </w:tabs>
        <w:ind w:left="4167" w:hanging="360"/>
      </w:pPr>
      <w:rPr>
        <w:rFonts w:ascii="Courier New" w:hAnsi="Courier New" w:hint="default"/>
      </w:rPr>
    </w:lvl>
    <w:lvl w:ilvl="5" w:tplc="04140005">
      <w:start w:val="1"/>
      <w:numFmt w:val="bullet"/>
      <w:lvlText w:val=""/>
      <w:lvlJc w:val="left"/>
      <w:pPr>
        <w:tabs>
          <w:tab w:val="num" w:pos="4887"/>
        </w:tabs>
        <w:ind w:left="4887" w:hanging="360"/>
      </w:pPr>
      <w:rPr>
        <w:rFonts w:ascii="Wingdings" w:hAnsi="Wingdings" w:hint="default"/>
      </w:rPr>
    </w:lvl>
    <w:lvl w:ilvl="6" w:tplc="04140001">
      <w:start w:val="1"/>
      <w:numFmt w:val="bullet"/>
      <w:lvlText w:val=""/>
      <w:lvlJc w:val="left"/>
      <w:pPr>
        <w:tabs>
          <w:tab w:val="num" w:pos="5607"/>
        </w:tabs>
        <w:ind w:left="5607" w:hanging="360"/>
      </w:pPr>
      <w:rPr>
        <w:rFonts w:ascii="Symbol" w:hAnsi="Symbol" w:hint="default"/>
      </w:rPr>
    </w:lvl>
    <w:lvl w:ilvl="7" w:tplc="04140003">
      <w:start w:val="1"/>
      <w:numFmt w:val="bullet"/>
      <w:lvlText w:val="o"/>
      <w:lvlJc w:val="left"/>
      <w:pPr>
        <w:tabs>
          <w:tab w:val="num" w:pos="6327"/>
        </w:tabs>
        <w:ind w:left="6327" w:hanging="360"/>
      </w:pPr>
      <w:rPr>
        <w:rFonts w:ascii="Courier New" w:hAnsi="Courier New" w:hint="default"/>
      </w:rPr>
    </w:lvl>
    <w:lvl w:ilvl="8" w:tplc="04140005">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93970E6"/>
    <w:multiLevelType w:val="hybridMultilevel"/>
    <w:tmpl w:val="EF2633D4"/>
    <w:lvl w:ilvl="0" w:tplc="8F9CB844">
      <w:numFmt w:val="bullet"/>
      <w:lvlText w:val="-"/>
      <w:lvlJc w:val="left"/>
      <w:pPr>
        <w:ind w:left="1287" w:hanging="360"/>
      </w:pPr>
      <w:rPr>
        <w:rFonts w:ascii="Times New Roman" w:eastAsia="Times New Roman" w:hAnsi="Times New Roman" w:hint="default"/>
      </w:rPr>
    </w:lvl>
    <w:lvl w:ilvl="1" w:tplc="04140003">
      <w:start w:val="1"/>
      <w:numFmt w:val="bullet"/>
      <w:lvlText w:val="o"/>
      <w:lvlJc w:val="left"/>
      <w:pPr>
        <w:ind w:left="2007" w:hanging="360"/>
      </w:pPr>
      <w:rPr>
        <w:rFonts w:ascii="Courier New" w:hAnsi="Courier New" w:hint="default"/>
      </w:rPr>
    </w:lvl>
    <w:lvl w:ilvl="2" w:tplc="04140005">
      <w:start w:val="1"/>
      <w:numFmt w:val="bullet"/>
      <w:lvlText w:val=""/>
      <w:lvlJc w:val="left"/>
      <w:pPr>
        <w:ind w:left="2727" w:hanging="360"/>
      </w:pPr>
      <w:rPr>
        <w:rFonts w:ascii="Wingdings" w:hAnsi="Wingdings" w:hint="default"/>
      </w:rPr>
    </w:lvl>
    <w:lvl w:ilvl="3" w:tplc="04140001">
      <w:start w:val="1"/>
      <w:numFmt w:val="bullet"/>
      <w:lvlText w:val=""/>
      <w:lvlJc w:val="left"/>
      <w:pPr>
        <w:ind w:left="3447" w:hanging="360"/>
      </w:pPr>
      <w:rPr>
        <w:rFonts w:ascii="Symbol" w:hAnsi="Symbol" w:hint="default"/>
      </w:rPr>
    </w:lvl>
    <w:lvl w:ilvl="4" w:tplc="04140003">
      <w:start w:val="1"/>
      <w:numFmt w:val="bullet"/>
      <w:lvlText w:val="o"/>
      <w:lvlJc w:val="left"/>
      <w:pPr>
        <w:ind w:left="4167" w:hanging="360"/>
      </w:pPr>
      <w:rPr>
        <w:rFonts w:ascii="Courier New" w:hAnsi="Courier New" w:hint="default"/>
      </w:rPr>
    </w:lvl>
    <w:lvl w:ilvl="5" w:tplc="04140005">
      <w:start w:val="1"/>
      <w:numFmt w:val="bullet"/>
      <w:lvlText w:val=""/>
      <w:lvlJc w:val="left"/>
      <w:pPr>
        <w:ind w:left="4887" w:hanging="360"/>
      </w:pPr>
      <w:rPr>
        <w:rFonts w:ascii="Wingdings" w:hAnsi="Wingdings" w:hint="default"/>
      </w:rPr>
    </w:lvl>
    <w:lvl w:ilvl="6" w:tplc="04140001">
      <w:start w:val="1"/>
      <w:numFmt w:val="bullet"/>
      <w:lvlText w:val=""/>
      <w:lvlJc w:val="left"/>
      <w:pPr>
        <w:ind w:left="5607" w:hanging="360"/>
      </w:pPr>
      <w:rPr>
        <w:rFonts w:ascii="Symbol" w:hAnsi="Symbol" w:hint="default"/>
      </w:rPr>
    </w:lvl>
    <w:lvl w:ilvl="7" w:tplc="04140003">
      <w:start w:val="1"/>
      <w:numFmt w:val="bullet"/>
      <w:lvlText w:val="o"/>
      <w:lvlJc w:val="left"/>
      <w:pPr>
        <w:ind w:left="6327" w:hanging="360"/>
      </w:pPr>
      <w:rPr>
        <w:rFonts w:ascii="Courier New" w:hAnsi="Courier New" w:hint="default"/>
      </w:rPr>
    </w:lvl>
    <w:lvl w:ilvl="8" w:tplc="04140005">
      <w:start w:val="1"/>
      <w:numFmt w:val="bullet"/>
      <w:lvlText w:val=""/>
      <w:lvlJc w:val="left"/>
      <w:pPr>
        <w:ind w:left="7047" w:hanging="360"/>
      </w:pPr>
      <w:rPr>
        <w:rFonts w:ascii="Wingdings" w:hAnsi="Wingdings" w:hint="default"/>
      </w:rPr>
    </w:lvl>
  </w:abstractNum>
  <w:abstractNum w:abstractNumId="13" w15:restartNumberingAfterBreak="0">
    <w:nsid w:val="6A6F71DA"/>
    <w:multiLevelType w:val="hybridMultilevel"/>
    <w:tmpl w:val="32CC2D4A"/>
    <w:lvl w:ilvl="0" w:tplc="04090001">
      <w:start w:val="1"/>
      <w:numFmt w:val="bullet"/>
      <w:lvlText w:val=""/>
      <w:lvlJc w:val="left"/>
      <w:pPr>
        <w:tabs>
          <w:tab w:val="num" w:pos="720"/>
        </w:tabs>
        <w:ind w:left="720" w:hanging="360"/>
      </w:pPr>
      <w:rPr>
        <w:rFonts w:ascii="Symbol" w:hAnsi="Symbol" w:hint="default"/>
      </w:rPr>
    </w:lvl>
    <w:lvl w:ilvl="1" w:tplc="8F9CB844">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1576DF"/>
    <w:multiLevelType w:val="hybridMultilevel"/>
    <w:tmpl w:val="3138B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3847"/>
    <w:multiLevelType w:val="multilevel"/>
    <w:tmpl w:val="82EC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F70F9"/>
    <w:multiLevelType w:val="multilevel"/>
    <w:tmpl w:val="D9FC12BE"/>
    <w:lvl w:ilvl="0">
      <w:start w:val="1"/>
      <w:numFmt w:val="decimal"/>
      <w:pStyle w:val="Heading1"/>
      <w:lvlText w:val="%1"/>
      <w:lvlJc w:val="left"/>
      <w:pPr>
        <w:tabs>
          <w:tab w:val="num" w:pos="-1127"/>
        </w:tabs>
      </w:pPr>
      <w:rPr>
        <w:rFonts w:ascii="Arial" w:hAnsi="Arial" w:cs="Arial" w:hint="default"/>
        <w:b w:val="0"/>
        <w:bCs w:val="0"/>
        <w:i w:val="0"/>
        <w:iCs w:val="0"/>
        <w:sz w:val="32"/>
        <w:szCs w:val="32"/>
      </w:rPr>
    </w:lvl>
    <w:lvl w:ilvl="1">
      <w:start w:val="1"/>
      <w:numFmt w:val="decimal"/>
      <w:pStyle w:val="Heading2"/>
      <w:lvlText w:val="%1.%2"/>
      <w:lvlJc w:val="left"/>
      <w:pPr>
        <w:tabs>
          <w:tab w:val="num" w:pos="2268"/>
        </w:tabs>
      </w:pPr>
      <w:rPr>
        <w:rFonts w:ascii="Arial" w:eastAsia="Times New Roman" w:hAnsi="Arial" w:cs="Arial"/>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26"/>
        </w:tabs>
        <w:ind w:left="-1977"/>
      </w:pPr>
      <w:rPr>
        <w:rFonts w:ascii="Arial" w:hAnsi="Arial" w:cs="Arial" w:hint="default"/>
        <w:b/>
        <w:bCs/>
        <w:i/>
        <w:iCs/>
        <w:sz w:val="20"/>
        <w:szCs w:val="20"/>
      </w:rPr>
    </w:lvl>
    <w:lvl w:ilvl="3">
      <w:start w:val="1"/>
      <w:numFmt w:val="decimal"/>
      <w:pStyle w:val="Heading4"/>
      <w:lvlText w:val="%1.%2.%3.%4"/>
      <w:lvlJc w:val="left"/>
      <w:pPr>
        <w:tabs>
          <w:tab w:val="num" w:pos="2126"/>
        </w:tabs>
      </w:pPr>
      <w:rPr>
        <w:rFonts w:ascii="Arial" w:hAnsi="Arial" w:cs="Arial" w:hint="default"/>
        <w:b w:val="0"/>
        <w:bCs w:val="0"/>
        <w:i/>
        <w:iCs/>
        <w:sz w:val="20"/>
        <w:szCs w:val="20"/>
      </w:rPr>
    </w:lvl>
    <w:lvl w:ilvl="4">
      <w:start w:val="1"/>
      <w:numFmt w:val="decimal"/>
      <w:pStyle w:val="Heading5"/>
      <w:lvlText w:val="%1.%2.%3.%4.%5"/>
      <w:lvlJc w:val="left"/>
      <w:pPr>
        <w:tabs>
          <w:tab w:val="num" w:pos="-145"/>
        </w:tabs>
        <w:ind w:left="-1563"/>
      </w:pPr>
      <w:rPr>
        <w:rFonts w:ascii="Arial" w:hAnsi="Arial" w:cs="Arial" w:hint="default"/>
        <w:b w:val="0"/>
        <w:bCs w:val="0"/>
        <w:i/>
        <w:iCs/>
        <w:sz w:val="20"/>
        <w:szCs w:val="20"/>
      </w:rPr>
    </w:lvl>
    <w:lvl w:ilvl="5">
      <w:start w:val="1"/>
      <w:numFmt w:val="decimal"/>
      <w:pStyle w:val="Heading6"/>
      <w:lvlText w:val="%1.%2.%3.%4.%5.%6"/>
      <w:lvlJc w:val="left"/>
      <w:pPr>
        <w:tabs>
          <w:tab w:val="num" w:pos="138"/>
        </w:tabs>
        <w:ind w:left="-1563"/>
      </w:pPr>
      <w:rPr>
        <w:rFonts w:ascii="Arial" w:hAnsi="Arial" w:cs="Arial" w:hint="default"/>
        <w:b w:val="0"/>
        <w:bCs w:val="0"/>
        <w:i/>
        <w:iCs/>
        <w:sz w:val="20"/>
        <w:szCs w:val="20"/>
      </w:rPr>
    </w:lvl>
    <w:lvl w:ilvl="6">
      <w:start w:val="1"/>
      <w:numFmt w:val="decimal"/>
      <w:pStyle w:val="Heading7"/>
      <w:lvlText w:val="%1.%2.%3.%4.%5.%6.%7"/>
      <w:lvlJc w:val="left"/>
      <w:pPr>
        <w:tabs>
          <w:tab w:val="num" w:pos="422"/>
        </w:tabs>
        <w:ind w:left="-1563"/>
      </w:pPr>
      <w:rPr>
        <w:rFonts w:ascii="Arial" w:hAnsi="Arial" w:cs="Arial" w:hint="default"/>
        <w:b w:val="0"/>
        <w:bCs w:val="0"/>
        <w:i/>
        <w:iCs/>
        <w:sz w:val="20"/>
        <w:szCs w:val="20"/>
      </w:rPr>
    </w:lvl>
    <w:lvl w:ilvl="7">
      <w:start w:val="1"/>
      <w:numFmt w:val="decimal"/>
      <w:pStyle w:val="Heading8"/>
      <w:lvlText w:val="%1.%2.%3.%4.%5.%6.%7.%8"/>
      <w:lvlJc w:val="left"/>
      <w:pPr>
        <w:tabs>
          <w:tab w:val="num" w:pos="705"/>
        </w:tabs>
        <w:ind w:left="-1563"/>
      </w:pPr>
      <w:rPr>
        <w:rFonts w:ascii="Arial" w:hAnsi="Arial" w:cs="Arial" w:hint="default"/>
        <w:b w:val="0"/>
        <w:bCs w:val="0"/>
        <w:i/>
        <w:iCs/>
        <w:sz w:val="20"/>
        <w:szCs w:val="20"/>
      </w:rPr>
    </w:lvl>
    <w:lvl w:ilvl="8">
      <w:start w:val="1"/>
      <w:numFmt w:val="decimal"/>
      <w:pStyle w:val="Heading9"/>
      <w:lvlText w:val="%1.%2.%3.%4.%5.%6.%7.%8.%9"/>
      <w:lvlJc w:val="left"/>
      <w:pPr>
        <w:tabs>
          <w:tab w:val="num" w:pos="989"/>
        </w:tabs>
        <w:ind w:left="-1563"/>
      </w:pPr>
      <w:rPr>
        <w:rFonts w:ascii="Arial" w:hAnsi="Arial" w:cs="Arial" w:hint="default"/>
        <w:b w:val="0"/>
        <w:bCs w:val="0"/>
        <w:i/>
        <w:iCs/>
        <w:sz w:val="20"/>
        <w:szCs w:val="20"/>
      </w:rPr>
    </w:lvl>
  </w:abstractNum>
  <w:abstractNum w:abstractNumId="17" w15:restartNumberingAfterBreak="0">
    <w:nsid w:val="7DAE4569"/>
    <w:multiLevelType w:val="hybridMultilevel"/>
    <w:tmpl w:val="38BA8916"/>
    <w:lvl w:ilvl="0" w:tplc="8F9CB844">
      <w:numFmt w:val="bullet"/>
      <w:lvlText w:val="-"/>
      <w:lvlJc w:val="left"/>
      <w:pPr>
        <w:ind w:left="1287" w:hanging="360"/>
      </w:pPr>
      <w:rPr>
        <w:rFonts w:ascii="Times New Roman" w:eastAsia="Times New Roman" w:hAnsi="Times New Roman" w:hint="default"/>
      </w:rPr>
    </w:lvl>
    <w:lvl w:ilvl="1" w:tplc="04140003">
      <w:start w:val="1"/>
      <w:numFmt w:val="bullet"/>
      <w:lvlText w:val="o"/>
      <w:lvlJc w:val="left"/>
      <w:pPr>
        <w:ind w:left="2007" w:hanging="360"/>
      </w:pPr>
      <w:rPr>
        <w:rFonts w:ascii="Courier New" w:hAnsi="Courier New" w:hint="default"/>
      </w:rPr>
    </w:lvl>
    <w:lvl w:ilvl="2" w:tplc="04140005">
      <w:start w:val="1"/>
      <w:numFmt w:val="bullet"/>
      <w:lvlText w:val=""/>
      <w:lvlJc w:val="left"/>
      <w:pPr>
        <w:ind w:left="2727" w:hanging="360"/>
      </w:pPr>
      <w:rPr>
        <w:rFonts w:ascii="Wingdings" w:hAnsi="Wingdings" w:hint="default"/>
      </w:rPr>
    </w:lvl>
    <w:lvl w:ilvl="3" w:tplc="04140001">
      <w:start w:val="1"/>
      <w:numFmt w:val="bullet"/>
      <w:lvlText w:val=""/>
      <w:lvlJc w:val="left"/>
      <w:pPr>
        <w:ind w:left="3447" w:hanging="360"/>
      </w:pPr>
      <w:rPr>
        <w:rFonts w:ascii="Symbol" w:hAnsi="Symbol" w:hint="default"/>
      </w:rPr>
    </w:lvl>
    <w:lvl w:ilvl="4" w:tplc="04140003">
      <w:start w:val="1"/>
      <w:numFmt w:val="bullet"/>
      <w:lvlText w:val="o"/>
      <w:lvlJc w:val="left"/>
      <w:pPr>
        <w:ind w:left="4167" w:hanging="360"/>
      </w:pPr>
      <w:rPr>
        <w:rFonts w:ascii="Courier New" w:hAnsi="Courier New" w:hint="default"/>
      </w:rPr>
    </w:lvl>
    <w:lvl w:ilvl="5" w:tplc="04140005">
      <w:start w:val="1"/>
      <w:numFmt w:val="bullet"/>
      <w:lvlText w:val=""/>
      <w:lvlJc w:val="left"/>
      <w:pPr>
        <w:ind w:left="4887" w:hanging="360"/>
      </w:pPr>
      <w:rPr>
        <w:rFonts w:ascii="Wingdings" w:hAnsi="Wingdings" w:hint="default"/>
      </w:rPr>
    </w:lvl>
    <w:lvl w:ilvl="6" w:tplc="04140001">
      <w:start w:val="1"/>
      <w:numFmt w:val="bullet"/>
      <w:lvlText w:val=""/>
      <w:lvlJc w:val="left"/>
      <w:pPr>
        <w:ind w:left="5607" w:hanging="360"/>
      </w:pPr>
      <w:rPr>
        <w:rFonts w:ascii="Symbol" w:hAnsi="Symbol" w:hint="default"/>
      </w:rPr>
    </w:lvl>
    <w:lvl w:ilvl="7" w:tplc="04140003">
      <w:start w:val="1"/>
      <w:numFmt w:val="bullet"/>
      <w:lvlText w:val="o"/>
      <w:lvlJc w:val="left"/>
      <w:pPr>
        <w:ind w:left="6327" w:hanging="360"/>
      </w:pPr>
      <w:rPr>
        <w:rFonts w:ascii="Courier New" w:hAnsi="Courier New" w:hint="default"/>
      </w:rPr>
    </w:lvl>
    <w:lvl w:ilvl="8" w:tplc="04140005">
      <w:start w:val="1"/>
      <w:numFmt w:val="bullet"/>
      <w:lvlText w:val=""/>
      <w:lvlJc w:val="left"/>
      <w:pPr>
        <w:ind w:left="7047" w:hanging="360"/>
      </w:pPr>
      <w:rPr>
        <w:rFonts w:ascii="Wingdings" w:hAnsi="Wingdings" w:hint="default"/>
      </w:rPr>
    </w:lvl>
  </w:abstractNum>
  <w:num w:numId="1">
    <w:abstractNumId w:val="16"/>
  </w:num>
  <w:num w:numId="2">
    <w:abstractNumId w:val="7"/>
  </w:num>
  <w:num w:numId="3">
    <w:abstractNumId w:val="12"/>
  </w:num>
  <w:num w:numId="4">
    <w:abstractNumId w:val="4"/>
  </w:num>
  <w:num w:numId="5">
    <w:abstractNumId w:val="10"/>
  </w:num>
  <w:num w:numId="6">
    <w:abstractNumId w:val="17"/>
  </w:num>
  <w:num w:numId="7">
    <w:abstractNumId w:val="0"/>
  </w:num>
  <w:num w:numId="8">
    <w:abstractNumId w:val="11"/>
  </w:num>
  <w:num w:numId="9">
    <w:abstractNumId w:val="5"/>
  </w:num>
  <w:num w:numId="10">
    <w:abstractNumId w:val="8"/>
  </w:num>
  <w:num w:numId="11">
    <w:abstractNumId w:val="9"/>
  </w:num>
  <w:num w:numId="12">
    <w:abstractNumId w:val="2"/>
  </w:num>
  <w:num w:numId="13">
    <w:abstractNumId w:val="3"/>
  </w:num>
  <w:num w:numId="14">
    <w:abstractNumId w:val="14"/>
  </w:num>
  <w:num w:numId="15">
    <w:abstractNumId w:val="13"/>
  </w:num>
  <w:num w:numId="16">
    <w:abstractNumId w:val="1"/>
  </w:num>
  <w:num w:numId="17">
    <w:abstractNumId w:val="6"/>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nrik Hjorth-Hansen">
    <w15:presenceInfo w15:providerId="AD" w15:userId="S::henrikhh@ntnu.no::3ecc3932-fb0d-49f1-ac7e-11e0806ca317"/>
  </w15:person>
  <w15:person w15:author="Henrik Hjorth-Hansen [2]">
    <w15:presenceInfo w15:providerId="AD" w15:userId="S-1-5-21-3959417778-1711865379-3952174976-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5EF"/>
    <w:rsid w:val="000221A6"/>
    <w:rsid w:val="00070CA3"/>
    <w:rsid w:val="00153DDF"/>
    <w:rsid w:val="00172AE4"/>
    <w:rsid w:val="00175CCD"/>
    <w:rsid w:val="0017798E"/>
    <w:rsid w:val="001A0E99"/>
    <w:rsid w:val="001A24B8"/>
    <w:rsid w:val="001B341D"/>
    <w:rsid w:val="001B70AD"/>
    <w:rsid w:val="001E7090"/>
    <w:rsid w:val="00227485"/>
    <w:rsid w:val="00243973"/>
    <w:rsid w:val="0026643F"/>
    <w:rsid w:val="00277299"/>
    <w:rsid w:val="00293EAF"/>
    <w:rsid w:val="002F370A"/>
    <w:rsid w:val="002F47C1"/>
    <w:rsid w:val="0031694C"/>
    <w:rsid w:val="0032430F"/>
    <w:rsid w:val="003B0698"/>
    <w:rsid w:val="003B5984"/>
    <w:rsid w:val="003E4C3F"/>
    <w:rsid w:val="00405924"/>
    <w:rsid w:val="00406D32"/>
    <w:rsid w:val="00443CCE"/>
    <w:rsid w:val="004456DD"/>
    <w:rsid w:val="004901DD"/>
    <w:rsid w:val="00492E7D"/>
    <w:rsid w:val="004C2A6D"/>
    <w:rsid w:val="004F6F2E"/>
    <w:rsid w:val="00503048"/>
    <w:rsid w:val="0050725A"/>
    <w:rsid w:val="00513E11"/>
    <w:rsid w:val="00520FFD"/>
    <w:rsid w:val="00562B9C"/>
    <w:rsid w:val="00581003"/>
    <w:rsid w:val="0059051E"/>
    <w:rsid w:val="005D12E3"/>
    <w:rsid w:val="005E067C"/>
    <w:rsid w:val="006378F1"/>
    <w:rsid w:val="00651CA4"/>
    <w:rsid w:val="00667F27"/>
    <w:rsid w:val="006A1F93"/>
    <w:rsid w:val="006A4980"/>
    <w:rsid w:val="006B193F"/>
    <w:rsid w:val="006F15EF"/>
    <w:rsid w:val="00726FF0"/>
    <w:rsid w:val="00782681"/>
    <w:rsid w:val="007A434C"/>
    <w:rsid w:val="007C504E"/>
    <w:rsid w:val="007E4F8D"/>
    <w:rsid w:val="00811809"/>
    <w:rsid w:val="00813CF4"/>
    <w:rsid w:val="00844097"/>
    <w:rsid w:val="00882132"/>
    <w:rsid w:val="0088259B"/>
    <w:rsid w:val="00891626"/>
    <w:rsid w:val="008B6CEB"/>
    <w:rsid w:val="008F77FE"/>
    <w:rsid w:val="009068EC"/>
    <w:rsid w:val="00952F63"/>
    <w:rsid w:val="00982EFA"/>
    <w:rsid w:val="00996DA5"/>
    <w:rsid w:val="009C3250"/>
    <w:rsid w:val="009E4A49"/>
    <w:rsid w:val="00A1096C"/>
    <w:rsid w:val="00A1775A"/>
    <w:rsid w:val="00A27863"/>
    <w:rsid w:val="00A309E0"/>
    <w:rsid w:val="00A621D1"/>
    <w:rsid w:val="00B2752D"/>
    <w:rsid w:val="00B31EEA"/>
    <w:rsid w:val="00B3520D"/>
    <w:rsid w:val="00B435C1"/>
    <w:rsid w:val="00B5117C"/>
    <w:rsid w:val="00B70BFA"/>
    <w:rsid w:val="00C01AF6"/>
    <w:rsid w:val="00C03DC7"/>
    <w:rsid w:val="00C126FE"/>
    <w:rsid w:val="00C23A67"/>
    <w:rsid w:val="00CC4376"/>
    <w:rsid w:val="00D05473"/>
    <w:rsid w:val="00D246DB"/>
    <w:rsid w:val="00D538E1"/>
    <w:rsid w:val="00D76AEE"/>
    <w:rsid w:val="00DB22D1"/>
    <w:rsid w:val="00DB6743"/>
    <w:rsid w:val="00DC7C84"/>
    <w:rsid w:val="00DF0889"/>
    <w:rsid w:val="00E03BBB"/>
    <w:rsid w:val="00E1051F"/>
    <w:rsid w:val="00E46F4A"/>
    <w:rsid w:val="00E54182"/>
    <w:rsid w:val="00E57AA8"/>
    <w:rsid w:val="00EE1DF9"/>
    <w:rsid w:val="00EF2DDB"/>
    <w:rsid w:val="00F02F9C"/>
    <w:rsid w:val="00F31BB1"/>
    <w:rsid w:val="00F43D0E"/>
    <w:rsid w:val="00F9310E"/>
    <w:rsid w:val="00FB0832"/>
    <w:rsid w:val="00FC79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A0333"/>
  <w15:docId w15:val="{6E90914D-42B9-41A0-88ED-0790C7E7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0Innholdsideingress"/>
    <w:link w:val="Heading1Char"/>
    <w:uiPriority w:val="9"/>
    <w:qFormat/>
    <w:rsid w:val="006F15EF"/>
    <w:pPr>
      <w:pageBreakBefore/>
      <w:widowControl w:val="0"/>
      <w:numPr>
        <w:numId w:val="1"/>
      </w:numPr>
      <w:tabs>
        <w:tab w:val="num" w:pos="-1410"/>
      </w:tabs>
      <w:spacing w:after="1400" w:line="240" w:lineRule="auto"/>
      <w:ind w:left="567"/>
      <w:outlineLvl w:val="0"/>
    </w:pPr>
    <w:rPr>
      <w:rFonts w:ascii="Arial" w:eastAsia="Times New Roman" w:hAnsi="Arial" w:cs="Arial"/>
      <w:color w:val="000000"/>
      <w:spacing w:val="40"/>
      <w:sz w:val="32"/>
      <w:szCs w:val="32"/>
    </w:rPr>
  </w:style>
  <w:style w:type="paragraph" w:styleId="Heading2">
    <w:name w:val="heading 2"/>
    <w:basedOn w:val="Normal"/>
    <w:next w:val="Normal"/>
    <w:link w:val="Heading2Char"/>
    <w:uiPriority w:val="9"/>
    <w:qFormat/>
    <w:rsid w:val="006F15EF"/>
    <w:pPr>
      <w:keepNext/>
      <w:widowControl w:val="0"/>
      <w:numPr>
        <w:ilvl w:val="1"/>
        <w:numId w:val="1"/>
      </w:numPr>
      <w:tabs>
        <w:tab w:val="left" w:pos="1134"/>
      </w:tabs>
      <w:spacing w:before="220" w:after="200" w:line="240" w:lineRule="auto"/>
      <w:outlineLvl w:val="1"/>
    </w:pPr>
    <w:rPr>
      <w:rFonts w:ascii="Arial" w:eastAsia="Times New Roman" w:hAnsi="Arial" w:cs="Arial"/>
      <w:b/>
      <w:bCs/>
      <w:color w:val="000000"/>
      <w:sz w:val="24"/>
      <w:szCs w:val="24"/>
    </w:rPr>
  </w:style>
  <w:style w:type="paragraph" w:styleId="Heading3">
    <w:name w:val="heading 3"/>
    <w:basedOn w:val="Normal"/>
    <w:next w:val="Normal"/>
    <w:link w:val="Heading3Char"/>
    <w:uiPriority w:val="9"/>
    <w:qFormat/>
    <w:rsid w:val="006F15EF"/>
    <w:pPr>
      <w:keepNext/>
      <w:widowControl w:val="0"/>
      <w:numPr>
        <w:ilvl w:val="2"/>
        <w:numId w:val="1"/>
      </w:numPr>
      <w:tabs>
        <w:tab w:val="left" w:pos="1418"/>
      </w:tabs>
      <w:spacing w:before="200" w:after="200" w:line="240" w:lineRule="auto"/>
      <w:outlineLvl w:val="2"/>
    </w:pPr>
    <w:rPr>
      <w:rFonts w:ascii="Arial" w:eastAsia="Times New Roman" w:hAnsi="Arial" w:cs="Arial"/>
      <w:b/>
      <w:bCs/>
      <w:i/>
      <w:iCs/>
      <w:sz w:val="24"/>
      <w:szCs w:val="24"/>
    </w:rPr>
  </w:style>
  <w:style w:type="paragraph" w:styleId="Heading4">
    <w:name w:val="heading 4"/>
    <w:basedOn w:val="Normal"/>
    <w:next w:val="Normal"/>
    <w:link w:val="Heading4Char"/>
    <w:uiPriority w:val="9"/>
    <w:qFormat/>
    <w:rsid w:val="006F15EF"/>
    <w:pPr>
      <w:keepNext/>
      <w:widowControl w:val="0"/>
      <w:numPr>
        <w:ilvl w:val="3"/>
        <w:numId w:val="1"/>
      </w:numPr>
      <w:tabs>
        <w:tab w:val="left" w:pos="1701"/>
      </w:tabs>
      <w:spacing w:before="200" w:after="200" w:line="240" w:lineRule="auto"/>
      <w:outlineLvl w:val="3"/>
    </w:pPr>
    <w:rPr>
      <w:rFonts w:ascii="Arial" w:eastAsia="Times New Roman" w:hAnsi="Arial" w:cs="Arial"/>
      <w:i/>
      <w:iCs/>
      <w:sz w:val="24"/>
      <w:szCs w:val="24"/>
    </w:rPr>
  </w:style>
  <w:style w:type="paragraph" w:styleId="Heading5">
    <w:name w:val="heading 5"/>
    <w:basedOn w:val="Normal"/>
    <w:next w:val="Normal"/>
    <w:link w:val="Heading5Char"/>
    <w:uiPriority w:val="9"/>
    <w:qFormat/>
    <w:rsid w:val="006F15EF"/>
    <w:pPr>
      <w:widowControl w:val="0"/>
      <w:numPr>
        <w:ilvl w:val="4"/>
        <w:numId w:val="1"/>
      </w:numPr>
      <w:tabs>
        <w:tab w:val="left" w:pos="1985"/>
      </w:tabs>
      <w:spacing w:before="200" w:after="200" w:line="240" w:lineRule="auto"/>
      <w:outlineLvl w:val="4"/>
    </w:pPr>
    <w:rPr>
      <w:rFonts w:ascii="Arial" w:eastAsia="Times New Roman" w:hAnsi="Arial" w:cs="Arial"/>
      <w:i/>
      <w:iCs/>
      <w:sz w:val="24"/>
      <w:szCs w:val="24"/>
    </w:rPr>
  </w:style>
  <w:style w:type="paragraph" w:styleId="Heading6">
    <w:name w:val="heading 6"/>
    <w:basedOn w:val="Normal"/>
    <w:next w:val="Normal"/>
    <w:link w:val="Heading6Char"/>
    <w:uiPriority w:val="9"/>
    <w:qFormat/>
    <w:rsid w:val="006F15EF"/>
    <w:pPr>
      <w:widowControl w:val="0"/>
      <w:numPr>
        <w:ilvl w:val="5"/>
        <w:numId w:val="1"/>
      </w:numPr>
      <w:tabs>
        <w:tab w:val="left" w:pos="2268"/>
      </w:tabs>
      <w:spacing w:before="200" w:after="200" w:line="240" w:lineRule="auto"/>
      <w:outlineLvl w:val="5"/>
    </w:pPr>
    <w:rPr>
      <w:rFonts w:ascii="Arial" w:eastAsia="Times New Roman" w:hAnsi="Arial" w:cs="Arial"/>
      <w:i/>
      <w:iCs/>
      <w:sz w:val="24"/>
      <w:szCs w:val="24"/>
    </w:rPr>
  </w:style>
  <w:style w:type="paragraph" w:styleId="Heading7">
    <w:name w:val="heading 7"/>
    <w:basedOn w:val="Normal"/>
    <w:next w:val="Normal"/>
    <w:link w:val="Heading7Char"/>
    <w:uiPriority w:val="9"/>
    <w:qFormat/>
    <w:rsid w:val="006F15EF"/>
    <w:pPr>
      <w:widowControl w:val="0"/>
      <w:numPr>
        <w:ilvl w:val="6"/>
        <w:numId w:val="1"/>
      </w:numPr>
      <w:tabs>
        <w:tab w:val="left" w:pos="2552"/>
      </w:tabs>
      <w:spacing w:before="200" w:after="200" w:line="240" w:lineRule="auto"/>
      <w:outlineLvl w:val="6"/>
    </w:pPr>
    <w:rPr>
      <w:rFonts w:ascii="Arial" w:eastAsia="Times New Roman" w:hAnsi="Arial" w:cs="Arial"/>
      <w:i/>
      <w:iCs/>
      <w:sz w:val="24"/>
      <w:szCs w:val="24"/>
    </w:rPr>
  </w:style>
  <w:style w:type="paragraph" w:styleId="Heading8">
    <w:name w:val="heading 8"/>
    <w:basedOn w:val="Normal"/>
    <w:next w:val="Normal"/>
    <w:link w:val="Heading8Char"/>
    <w:uiPriority w:val="9"/>
    <w:qFormat/>
    <w:rsid w:val="006F15EF"/>
    <w:pPr>
      <w:widowControl w:val="0"/>
      <w:numPr>
        <w:ilvl w:val="7"/>
        <w:numId w:val="1"/>
      </w:numPr>
      <w:spacing w:before="200" w:after="200" w:line="240" w:lineRule="auto"/>
      <w:outlineLvl w:val="7"/>
    </w:pPr>
    <w:rPr>
      <w:rFonts w:ascii="Arial" w:eastAsia="Times New Roman" w:hAnsi="Arial" w:cs="Arial"/>
      <w:i/>
      <w:iCs/>
      <w:sz w:val="24"/>
      <w:szCs w:val="24"/>
    </w:rPr>
  </w:style>
  <w:style w:type="paragraph" w:styleId="Heading9">
    <w:name w:val="heading 9"/>
    <w:basedOn w:val="Normal"/>
    <w:next w:val="Normal"/>
    <w:link w:val="Heading9Char"/>
    <w:uiPriority w:val="9"/>
    <w:qFormat/>
    <w:rsid w:val="006F15EF"/>
    <w:pPr>
      <w:widowControl w:val="0"/>
      <w:numPr>
        <w:ilvl w:val="8"/>
        <w:numId w:val="1"/>
      </w:numPr>
      <w:tabs>
        <w:tab w:val="left" w:pos="3119"/>
      </w:tabs>
      <w:spacing w:before="200" w:after="200" w:line="240" w:lineRule="auto"/>
      <w:outlineLvl w:val="8"/>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5EF"/>
    <w:rPr>
      <w:rFonts w:ascii="Arial" w:eastAsia="Times New Roman" w:hAnsi="Arial" w:cs="Arial"/>
      <w:color w:val="000000"/>
      <w:spacing w:val="40"/>
      <w:sz w:val="32"/>
      <w:szCs w:val="32"/>
    </w:rPr>
  </w:style>
  <w:style w:type="character" w:customStyle="1" w:styleId="Heading2Char">
    <w:name w:val="Heading 2 Char"/>
    <w:basedOn w:val="DefaultParagraphFont"/>
    <w:link w:val="Heading2"/>
    <w:uiPriority w:val="9"/>
    <w:rsid w:val="006F15EF"/>
    <w:rPr>
      <w:rFonts w:ascii="Arial" w:eastAsia="Times New Roman" w:hAnsi="Arial" w:cs="Arial"/>
      <w:b/>
      <w:bCs/>
      <w:color w:val="000000"/>
      <w:sz w:val="24"/>
      <w:szCs w:val="24"/>
    </w:rPr>
  </w:style>
  <w:style w:type="character" w:customStyle="1" w:styleId="Heading3Char">
    <w:name w:val="Heading 3 Char"/>
    <w:basedOn w:val="DefaultParagraphFont"/>
    <w:link w:val="Heading3"/>
    <w:uiPriority w:val="9"/>
    <w:rsid w:val="006F15EF"/>
    <w:rPr>
      <w:rFonts w:ascii="Arial" w:eastAsia="Times New Roman" w:hAnsi="Arial" w:cs="Arial"/>
      <w:b/>
      <w:bCs/>
      <w:i/>
      <w:iCs/>
      <w:sz w:val="24"/>
      <w:szCs w:val="24"/>
    </w:rPr>
  </w:style>
  <w:style w:type="character" w:customStyle="1" w:styleId="Heading4Char">
    <w:name w:val="Heading 4 Char"/>
    <w:basedOn w:val="DefaultParagraphFont"/>
    <w:link w:val="Heading4"/>
    <w:uiPriority w:val="9"/>
    <w:rsid w:val="006F15EF"/>
    <w:rPr>
      <w:rFonts w:ascii="Arial" w:eastAsia="Times New Roman" w:hAnsi="Arial" w:cs="Arial"/>
      <w:i/>
      <w:iCs/>
      <w:sz w:val="24"/>
      <w:szCs w:val="24"/>
    </w:rPr>
  </w:style>
  <w:style w:type="character" w:customStyle="1" w:styleId="Heading5Char">
    <w:name w:val="Heading 5 Char"/>
    <w:basedOn w:val="DefaultParagraphFont"/>
    <w:link w:val="Heading5"/>
    <w:uiPriority w:val="9"/>
    <w:rsid w:val="006F15EF"/>
    <w:rPr>
      <w:rFonts w:ascii="Arial" w:eastAsia="Times New Roman" w:hAnsi="Arial" w:cs="Arial"/>
      <w:i/>
      <w:iCs/>
      <w:sz w:val="24"/>
      <w:szCs w:val="24"/>
    </w:rPr>
  </w:style>
  <w:style w:type="character" w:customStyle="1" w:styleId="Heading6Char">
    <w:name w:val="Heading 6 Char"/>
    <w:basedOn w:val="DefaultParagraphFont"/>
    <w:link w:val="Heading6"/>
    <w:uiPriority w:val="9"/>
    <w:rsid w:val="006F15EF"/>
    <w:rPr>
      <w:rFonts w:ascii="Arial" w:eastAsia="Times New Roman" w:hAnsi="Arial" w:cs="Arial"/>
      <w:i/>
      <w:iCs/>
      <w:sz w:val="24"/>
      <w:szCs w:val="24"/>
    </w:rPr>
  </w:style>
  <w:style w:type="character" w:customStyle="1" w:styleId="Heading7Char">
    <w:name w:val="Heading 7 Char"/>
    <w:basedOn w:val="DefaultParagraphFont"/>
    <w:link w:val="Heading7"/>
    <w:uiPriority w:val="9"/>
    <w:rsid w:val="006F15EF"/>
    <w:rPr>
      <w:rFonts w:ascii="Arial" w:eastAsia="Times New Roman" w:hAnsi="Arial" w:cs="Arial"/>
      <w:i/>
      <w:iCs/>
      <w:sz w:val="24"/>
      <w:szCs w:val="24"/>
    </w:rPr>
  </w:style>
  <w:style w:type="character" w:customStyle="1" w:styleId="Heading8Char">
    <w:name w:val="Heading 8 Char"/>
    <w:basedOn w:val="DefaultParagraphFont"/>
    <w:link w:val="Heading8"/>
    <w:uiPriority w:val="9"/>
    <w:rsid w:val="006F15EF"/>
    <w:rPr>
      <w:rFonts w:ascii="Arial" w:eastAsia="Times New Roman" w:hAnsi="Arial" w:cs="Arial"/>
      <w:i/>
      <w:iCs/>
      <w:sz w:val="24"/>
      <w:szCs w:val="24"/>
    </w:rPr>
  </w:style>
  <w:style w:type="character" w:customStyle="1" w:styleId="Heading9Char">
    <w:name w:val="Heading 9 Char"/>
    <w:basedOn w:val="DefaultParagraphFont"/>
    <w:link w:val="Heading9"/>
    <w:uiPriority w:val="9"/>
    <w:rsid w:val="006F15EF"/>
    <w:rPr>
      <w:rFonts w:ascii="Arial" w:eastAsia="Times New Roman" w:hAnsi="Arial" w:cs="Arial"/>
      <w:i/>
      <w:iCs/>
      <w:sz w:val="24"/>
      <w:szCs w:val="24"/>
    </w:rPr>
  </w:style>
  <w:style w:type="paragraph" w:customStyle="1" w:styleId="0Innholdsideingress">
    <w:name w:val="0. Innholdside ingress"/>
    <w:basedOn w:val="Normal"/>
    <w:rsid w:val="006F15EF"/>
    <w:pPr>
      <w:spacing w:after="0" w:line="240" w:lineRule="auto"/>
      <w:ind w:left="567"/>
    </w:pPr>
    <w:rPr>
      <w:rFonts w:ascii="Arial" w:eastAsia="Times New Roman" w:hAnsi="Arial" w:cs="Arial"/>
      <w:b/>
      <w:bCs/>
      <w:sz w:val="24"/>
      <w:szCs w:val="24"/>
    </w:rPr>
  </w:style>
  <w:style w:type="character" w:styleId="Hyperlink">
    <w:name w:val="Hyperlink"/>
    <w:basedOn w:val="DefaultParagraphFont"/>
    <w:uiPriority w:val="99"/>
    <w:rsid w:val="006F15EF"/>
    <w:rPr>
      <w:color w:val="0000FF"/>
      <w:u w:val="single"/>
    </w:rPr>
  </w:style>
  <w:style w:type="character" w:styleId="Strong">
    <w:name w:val="Strong"/>
    <w:basedOn w:val="DefaultParagraphFont"/>
    <w:uiPriority w:val="22"/>
    <w:qFormat/>
    <w:rsid w:val="006F15EF"/>
    <w:rPr>
      <w:b/>
    </w:rPr>
  </w:style>
  <w:style w:type="character" w:customStyle="1" w:styleId="CharChar2">
    <w:name w:val="Char Char2"/>
    <w:semiHidden/>
    <w:rsid w:val="006F15EF"/>
    <w:rPr>
      <w:rFonts w:ascii="Calibri" w:hAnsi="Calibri"/>
      <w:lang w:val="nb-NO" w:eastAsia="en-US"/>
    </w:rPr>
  </w:style>
  <w:style w:type="paragraph" w:customStyle="1" w:styleId="Listeavsnitt2">
    <w:name w:val="Listeavsnitt2"/>
    <w:basedOn w:val="Normal"/>
    <w:rsid w:val="006F15EF"/>
    <w:pPr>
      <w:widowControl w:val="0"/>
      <w:spacing w:after="0" w:line="240" w:lineRule="auto"/>
      <w:ind w:left="72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B51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7C"/>
    <w:rPr>
      <w:rFonts w:ascii="Segoe UI" w:hAnsi="Segoe UI" w:cs="Segoe UI"/>
      <w:sz w:val="18"/>
      <w:szCs w:val="18"/>
    </w:rPr>
  </w:style>
  <w:style w:type="character" w:styleId="CommentReference">
    <w:name w:val="annotation reference"/>
    <w:basedOn w:val="DefaultParagraphFont"/>
    <w:uiPriority w:val="99"/>
    <w:semiHidden/>
    <w:unhideWhenUsed/>
    <w:rsid w:val="0026643F"/>
    <w:rPr>
      <w:sz w:val="16"/>
      <w:szCs w:val="16"/>
    </w:rPr>
  </w:style>
  <w:style w:type="paragraph" w:styleId="CommentText">
    <w:name w:val="annotation text"/>
    <w:basedOn w:val="Normal"/>
    <w:link w:val="CommentTextChar"/>
    <w:uiPriority w:val="99"/>
    <w:semiHidden/>
    <w:unhideWhenUsed/>
    <w:rsid w:val="0026643F"/>
    <w:pPr>
      <w:spacing w:line="240" w:lineRule="auto"/>
    </w:pPr>
    <w:rPr>
      <w:sz w:val="20"/>
      <w:szCs w:val="20"/>
    </w:rPr>
  </w:style>
  <w:style w:type="character" w:customStyle="1" w:styleId="CommentTextChar">
    <w:name w:val="Comment Text Char"/>
    <w:basedOn w:val="DefaultParagraphFont"/>
    <w:link w:val="CommentText"/>
    <w:uiPriority w:val="99"/>
    <w:semiHidden/>
    <w:rsid w:val="0026643F"/>
    <w:rPr>
      <w:sz w:val="20"/>
      <w:szCs w:val="20"/>
    </w:rPr>
  </w:style>
  <w:style w:type="paragraph" w:styleId="CommentSubject">
    <w:name w:val="annotation subject"/>
    <w:basedOn w:val="CommentText"/>
    <w:next w:val="CommentText"/>
    <w:link w:val="CommentSubjectChar"/>
    <w:uiPriority w:val="99"/>
    <w:semiHidden/>
    <w:unhideWhenUsed/>
    <w:rsid w:val="0026643F"/>
    <w:rPr>
      <w:b/>
      <w:bCs/>
    </w:rPr>
  </w:style>
  <w:style w:type="character" w:customStyle="1" w:styleId="CommentSubjectChar">
    <w:name w:val="Comment Subject Char"/>
    <w:basedOn w:val="CommentTextChar"/>
    <w:link w:val="CommentSubject"/>
    <w:uiPriority w:val="99"/>
    <w:semiHidden/>
    <w:rsid w:val="0026643F"/>
    <w:rPr>
      <w:b/>
      <w:bCs/>
      <w:sz w:val="20"/>
      <w:szCs w:val="20"/>
    </w:rPr>
  </w:style>
  <w:style w:type="table" w:styleId="TableGrid">
    <w:name w:val="Table Grid"/>
    <w:basedOn w:val="TableNormal"/>
    <w:uiPriority w:val="39"/>
    <w:rsid w:val="00EF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6743"/>
    <w:rPr>
      <w:color w:val="605E5C"/>
      <w:shd w:val="clear" w:color="auto" w:fill="E1DFDD"/>
    </w:rPr>
  </w:style>
  <w:style w:type="character" w:customStyle="1" w:styleId="u-visually-hidden">
    <w:name w:val="u-visually-hidden"/>
    <w:basedOn w:val="DefaultParagraphFont"/>
    <w:rsid w:val="00B2752D"/>
  </w:style>
  <w:style w:type="character" w:styleId="FollowedHyperlink">
    <w:name w:val="FollowedHyperlink"/>
    <w:basedOn w:val="DefaultParagraphFont"/>
    <w:uiPriority w:val="99"/>
    <w:semiHidden/>
    <w:unhideWhenUsed/>
    <w:rsid w:val="00952F63"/>
    <w:rPr>
      <w:color w:val="954F72" w:themeColor="followedHyperlink"/>
      <w:u w:val="single"/>
    </w:rPr>
  </w:style>
  <w:style w:type="paragraph" w:styleId="ListParagraph">
    <w:name w:val="List Paragraph"/>
    <w:basedOn w:val="Normal"/>
    <w:uiPriority w:val="34"/>
    <w:qFormat/>
    <w:rsid w:val="00562B9C"/>
    <w:pPr>
      <w:ind w:left="720"/>
      <w:contextualSpacing/>
    </w:pPr>
  </w:style>
  <w:style w:type="paragraph" w:customStyle="1" w:styleId="c-author-listitem">
    <w:name w:val="c-author-list__item"/>
    <w:basedOn w:val="Normal"/>
    <w:rsid w:val="00492E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article-info-details">
    <w:name w:val="c-article-info-details"/>
    <w:basedOn w:val="Normal"/>
    <w:rsid w:val="00492E7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45435">
      <w:bodyDiv w:val="1"/>
      <w:marLeft w:val="0"/>
      <w:marRight w:val="0"/>
      <w:marTop w:val="0"/>
      <w:marBottom w:val="0"/>
      <w:divBdr>
        <w:top w:val="none" w:sz="0" w:space="0" w:color="auto"/>
        <w:left w:val="none" w:sz="0" w:space="0" w:color="auto"/>
        <w:bottom w:val="none" w:sz="0" w:space="0" w:color="auto"/>
        <w:right w:val="none" w:sz="0" w:space="0" w:color="auto"/>
      </w:divBdr>
    </w:div>
    <w:div w:id="1717242169">
      <w:bodyDiv w:val="1"/>
      <w:marLeft w:val="0"/>
      <w:marRight w:val="0"/>
      <w:marTop w:val="0"/>
      <w:marBottom w:val="0"/>
      <w:divBdr>
        <w:top w:val="none" w:sz="0" w:space="0" w:color="auto"/>
        <w:left w:val="none" w:sz="0" w:space="0" w:color="auto"/>
        <w:bottom w:val="none" w:sz="0" w:space="0" w:color="auto"/>
        <w:right w:val="none" w:sz="0" w:space="0" w:color="auto"/>
      </w:divBdr>
      <w:divsChild>
        <w:div w:id="2104689817">
          <w:marLeft w:val="0"/>
          <w:marRight w:val="0"/>
          <w:marTop w:val="0"/>
          <w:marBottom w:val="0"/>
          <w:divBdr>
            <w:top w:val="none" w:sz="0" w:space="0" w:color="auto"/>
            <w:left w:val="none" w:sz="0" w:space="0" w:color="auto"/>
            <w:bottom w:val="none" w:sz="0" w:space="0" w:color="auto"/>
            <w:right w:val="none" w:sz="0" w:space="0" w:color="auto"/>
          </w:divBdr>
          <w:divsChild>
            <w:div w:id="2112625709">
              <w:marLeft w:val="0"/>
              <w:marRight w:val="0"/>
              <w:marTop w:val="0"/>
              <w:marBottom w:val="0"/>
              <w:divBdr>
                <w:top w:val="none" w:sz="0" w:space="0" w:color="auto"/>
                <w:left w:val="none" w:sz="0" w:space="0" w:color="auto"/>
                <w:bottom w:val="none" w:sz="0" w:space="0" w:color="auto"/>
                <w:right w:val="none" w:sz="0" w:space="0" w:color="auto"/>
              </w:divBdr>
              <w:divsChild>
                <w:div w:id="2146268345">
                  <w:marLeft w:val="0"/>
                  <w:marRight w:val="0"/>
                  <w:marTop w:val="0"/>
                  <w:marBottom w:val="0"/>
                  <w:divBdr>
                    <w:top w:val="none" w:sz="0" w:space="0" w:color="auto"/>
                    <w:left w:val="none" w:sz="0" w:space="0" w:color="auto"/>
                    <w:bottom w:val="none" w:sz="0" w:space="0" w:color="auto"/>
                    <w:right w:val="none" w:sz="0" w:space="0" w:color="auto"/>
                  </w:divBdr>
                  <w:divsChild>
                    <w:div w:id="794714789">
                      <w:marLeft w:val="0"/>
                      <w:marRight w:val="0"/>
                      <w:marTop w:val="0"/>
                      <w:marBottom w:val="0"/>
                      <w:divBdr>
                        <w:top w:val="none" w:sz="0" w:space="0" w:color="auto"/>
                        <w:left w:val="none" w:sz="0" w:space="0" w:color="auto"/>
                        <w:bottom w:val="none" w:sz="0" w:space="0" w:color="auto"/>
                        <w:right w:val="none" w:sz="0" w:space="0" w:color="auto"/>
                      </w:divBdr>
                      <w:divsChild>
                        <w:div w:id="352848571">
                          <w:marLeft w:val="0"/>
                          <w:marRight w:val="0"/>
                          <w:marTop w:val="0"/>
                          <w:marBottom w:val="0"/>
                          <w:divBdr>
                            <w:top w:val="none" w:sz="0" w:space="0" w:color="auto"/>
                            <w:left w:val="none" w:sz="0" w:space="0" w:color="auto"/>
                            <w:bottom w:val="none" w:sz="0" w:space="0" w:color="auto"/>
                            <w:right w:val="none" w:sz="0" w:space="0" w:color="auto"/>
                          </w:divBdr>
                          <w:divsChild>
                            <w:div w:id="2106152890">
                              <w:marLeft w:val="0"/>
                              <w:marRight w:val="0"/>
                              <w:marTop w:val="0"/>
                              <w:marBottom w:val="0"/>
                              <w:divBdr>
                                <w:top w:val="none" w:sz="0" w:space="0" w:color="auto"/>
                                <w:left w:val="none" w:sz="0" w:space="0" w:color="auto"/>
                                <w:bottom w:val="none" w:sz="0" w:space="0" w:color="auto"/>
                                <w:right w:val="none" w:sz="0" w:space="0" w:color="auto"/>
                              </w:divBdr>
                              <w:divsChild>
                                <w:div w:id="5469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link.springer.com/journal/11864" TargetMode="External"/><Relationship Id="rId3" Type="http://schemas.openxmlformats.org/officeDocument/2006/relationships/hyperlink" Target="file:///C:\Users\henrikhh\Downloads\s41375-020-0842-9.pdf" TargetMode="External"/><Relationship Id="rId7" Type="http://schemas.openxmlformats.org/officeDocument/2006/relationships/hyperlink" Target="https://www.nejm.org/doi/full/10.1056/NEJMoa1902328" TargetMode="External"/><Relationship Id="rId2" Type="http://schemas.openxmlformats.org/officeDocument/2006/relationships/hyperlink" Target="https://www.ncbi.nlm.nih.gov/pubmed/29091516" TargetMode="External"/><Relationship Id="rId1" Type="http://schemas.openxmlformats.org/officeDocument/2006/relationships/hyperlink" Target="https://www.nature.com/leu" TargetMode="External"/><Relationship Id="rId6" Type="http://schemas.openxmlformats.org/officeDocument/2006/relationships/hyperlink" Target="http://www.thelancet.com/journals/lanonc/issue/vol16no15/PIIS1470-2045%2815%29X0010-6" TargetMode="External"/><Relationship Id="rId5" Type="http://schemas.openxmlformats.org/officeDocument/2006/relationships/hyperlink" Target="https://www.ncbi.nlm.nih.gov/pubmed/27479888" TargetMode="External"/><Relationship Id="rId4" Type="http://schemas.openxmlformats.org/officeDocument/2006/relationships/hyperlink" Target="https://www.ncbi.nlm.nih.gov/pmc/articles/PMC7607785/pdf/10.1177_2040620720966120.pdf" TargetMode="External"/><Relationship Id="rId9" Type="http://schemas.openxmlformats.org/officeDocument/2006/relationships/hyperlink" Target="https://www.ncbi.nlm.nih.gov/pubmed/24323036"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mawa@sus.no" TargetMode="External"/><Relationship Id="rId18" Type="http://schemas.openxmlformats.org/officeDocument/2006/relationships/hyperlink" Target="http://www.molpat.no" TargetMode="External"/><Relationship Id="rId3" Type="http://schemas.openxmlformats.org/officeDocument/2006/relationships/settings" Target="settings.xml"/><Relationship Id="rId21" Type="http://schemas.openxmlformats.org/officeDocument/2006/relationships/hyperlink" Target="mailto:MGM@helse-bergen.no" TargetMode="External"/><Relationship Id="rId7" Type="http://schemas.openxmlformats.org/officeDocument/2006/relationships/comments" Target="comments.xml"/><Relationship Id="rId12" Type="http://schemas.openxmlformats.org/officeDocument/2006/relationships/hyperlink" Target="mailto:tgeddeda@ous-hf.no" TargetMode="External"/><Relationship Id="rId17" Type="http://schemas.openxmlformats.org/officeDocument/2006/relationships/hyperlink" Target="mailto:MGM@helse-bergen.no" TargetMode="External"/><Relationship Id="rId2" Type="http://schemas.openxmlformats.org/officeDocument/2006/relationships/styles" Target="styles.xml"/><Relationship Id="rId16" Type="http://schemas.openxmlformats.org/officeDocument/2006/relationships/hyperlink" Target="mailto:rhov@haukeland.no" TargetMode="External"/><Relationship Id="rId20" Type="http://schemas.openxmlformats.org/officeDocument/2006/relationships/hyperlink" Target="mailto:rhov@haukeland.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jorn.gjertsen@med.uib.n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enrik.hjorth-hansen@ntnu.no" TargetMode="External"/><Relationship Id="rId23" Type="http://schemas.microsoft.com/office/2011/relationships/people" Target="people.xml"/><Relationship Id="rId10" Type="http://schemas.openxmlformats.org/officeDocument/2006/relationships/hyperlink" Target="http://www.leukemia-net.org/content/leukemias/cml/cml_score/index_eng.html" TargetMode="External"/><Relationship Id="rId19" Type="http://schemas.openxmlformats.org/officeDocument/2006/relationships/hyperlink" Target="mailto:dag.andre.nymoen@ous-hf.no"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anders.vi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7806</Words>
  <Characters>41377</Characters>
  <Application>Microsoft Office Word</Application>
  <DocSecurity>0</DocSecurity>
  <Lines>344</Lines>
  <Paragraphs>98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49085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Hjorth-Hansen</dc:creator>
  <cp:lastModifiedBy>Henrik Hjorth-Hansen</cp:lastModifiedBy>
  <cp:revision>2</cp:revision>
  <cp:lastPrinted>2018-01-02T16:07:00Z</cp:lastPrinted>
  <dcterms:created xsi:type="dcterms:W3CDTF">2021-02-09T21:28:00Z</dcterms:created>
  <dcterms:modified xsi:type="dcterms:W3CDTF">2021-02-09T21:28:00Z</dcterms:modified>
</cp:coreProperties>
</file>