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847CA" w14:textId="422AF780" w:rsidR="00DF1B87" w:rsidRDefault="00DF1B87" w:rsidP="0025604C">
      <w:pPr>
        <w:rPr>
          <w:b/>
          <w:sz w:val="28"/>
          <w:szCs w:val="28"/>
        </w:rPr>
      </w:pPr>
      <w:r>
        <w:rPr>
          <w:b/>
          <w:sz w:val="28"/>
          <w:szCs w:val="28"/>
        </w:rPr>
        <w:t>Supplementary materials</w:t>
      </w:r>
      <w:r w:rsidR="00B1254C">
        <w:rPr>
          <w:b/>
          <w:sz w:val="28"/>
          <w:szCs w:val="28"/>
        </w:rPr>
        <w:t xml:space="preserve">, Appendix </w:t>
      </w:r>
      <w:proofErr w:type="spellStart"/>
      <w:r w:rsidR="00B1254C">
        <w:rPr>
          <w:b/>
          <w:sz w:val="28"/>
          <w:szCs w:val="28"/>
        </w:rPr>
        <w:t>S3</w:t>
      </w:r>
      <w:proofErr w:type="spellEnd"/>
      <w:r w:rsidR="00B1254C">
        <w:rPr>
          <w:b/>
          <w:sz w:val="28"/>
          <w:szCs w:val="28"/>
        </w:rPr>
        <w:t>:</w:t>
      </w:r>
    </w:p>
    <w:p w14:paraId="56687E80" w14:textId="77777777" w:rsidR="00DF1B87" w:rsidRDefault="00DF1B87" w:rsidP="0025604C">
      <w:pPr>
        <w:rPr>
          <w:b/>
          <w:sz w:val="28"/>
          <w:szCs w:val="28"/>
        </w:rPr>
      </w:pPr>
    </w:p>
    <w:p w14:paraId="2F0DA506" w14:textId="60C4BDF7" w:rsidR="0025604C" w:rsidRPr="0025604C" w:rsidRDefault="00D06604" w:rsidP="0025604C">
      <w:pPr>
        <w:rPr>
          <w:b/>
          <w:sz w:val="28"/>
          <w:szCs w:val="28"/>
        </w:rPr>
      </w:pPr>
      <w:r>
        <w:rPr>
          <w:b/>
          <w:sz w:val="28"/>
          <w:szCs w:val="28"/>
        </w:rPr>
        <w:t>Table</w:t>
      </w:r>
      <w:r w:rsidR="0025604C" w:rsidRPr="0025604C">
        <w:rPr>
          <w:b/>
          <w:sz w:val="28"/>
          <w:szCs w:val="28"/>
        </w:rPr>
        <w:t xml:space="preserve"> </w:t>
      </w:r>
      <w:proofErr w:type="spellStart"/>
      <w:r>
        <w:rPr>
          <w:b/>
          <w:sz w:val="28"/>
          <w:szCs w:val="28"/>
        </w:rPr>
        <w:t>S</w:t>
      </w:r>
      <w:r w:rsidR="0025604C" w:rsidRPr="0025604C">
        <w:rPr>
          <w:b/>
          <w:sz w:val="28"/>
          <w:szCs w:val="28"/>
        </w:rPr>
        <w:t>1</w:t>
      </w:r>
      <w:proofErr w:type="spellEnd"/>
      <w:r w:rsidR="0025604C" w:rsidRPr="0025604C">
        <w:rPr>
          <w:b/>
          <w:sz w:val="28"/>
          <w:szCs w:val="28"/>
        </w:rPr>
        <w:t xml:space="preserve">. </w:t>
      </w:r>
      <w:r w:rsidR="0025604C" w:rsidRPr="0025604C">
        <w:rPr>
          <w:sz w:val="28"/>
          <w:szCs w:val="28"/>
        </w:rPr>
        <w:t>Expert panel members</w:t>
      </w:r>
      <w:r w:rsidR="006F5152">
        <w:rPr>
          <w:sz w:val="28"/>
          <w:szCs w:val="28"/>
        </w:rPr>
        <w:t>,</w:t>
      </w:r>
      <w:r w:rsidR="0025604C" w:rsidRPr="0025604C">
        <w:rPr>
          <w:sz w:val="28"/>
          <w:szCs w:val="28"/>
        </w:rPr>
        <w:t xml:space="preserve"> by country</w:t>
      </w:r>
    </w:p>
    <w:p w14:paraId="39809EF6" w14:textId="77777777" w:rsidR="0025604C" w:rsidRPr="00B96C7B" w:rsidRDefault="0025604C" w:rsidP="0025604C">
      <w:pPr>
        <w:rPr>
          <w:b/>
        </w:rPr>
      </w:pPr>
    </w:p>
    <w:tbl>
      <w:tblPr>
        <w:tblStyle w:val="TableGrid"/>
        <w:tblW w:w="0" w:type="auto"/>
        <w:tblLook w:val="04A0" w:firstRow="1" w:lastRow="0" w:firstColumn="1" w:lastColumn="0" w:noHBand="0" w:noVBand="1"/>
      </w:tblPr>
      <w:tblGrid>
        <w:gridCol w:w="2937"/>
        <w:gridCol w:w="3075"/>
        <w:gridCol w:w="3044"/>
      </w:tblGrid>
      <w:tr w:rsidR="0025604C" w14:paraId="375316DA" w14:textId="77777777" w:rsidTr="00C138FD">
        <w:trPr>
          <w:trHeight w:val="688"/>
        </w:trPr>
        <w:tc>
          <w:tcPr>
            <w:tcW w:w="2937" w:type="dxa"/>
            <w:vAlign w:val="center"/>
          </w:tcPr>
          <w:p w14:paraId="165F1DA9" w14:textId="77777777" w:rsidR="0025604C" w:rsidRPr="00551C30" w:rsidRDefault="0025604C" w:rsidP="00C138FD">
            <w:pPr>
              <w:rPr>
                <w:b/>
              </w:rPr>
            </w:pPr>
            <w:r w:rsidRPr="00551C30">
              <w:rPr>
                <w:b/>
              </w:rPr>
              <w:t>Country</w:t>
            </w:r>
          </w:p>
        </w:tc>
        <w:tc>
          <w:tcPr>
            <w:tcW w:w="3075" w:type="dxa"/>
            <w:vAlign w:val="center"/>
          </w:tcPr>
          <w:p w14:paraId="5A018B26" w14:textId="77777777" w:rsidR="0025604C" w:rsidRPr="00551C30" w:rsidRDefault="0025604C" w:rsidP="00C138FD">
            <w:pPr>
              <w:jc w:val="center"/>
              <w:rPr>
                <w:b/>
              </w:rPr>
            </w:pPr>
            <w:r w:rsidRPr="00551C30">
              <w:rPr>
                <w:b/>
              </w:rPr>
              <w:t>Number of participants in expert panel</w:t>
            </w:r>
          </w:p>
        </w:tc>
        <w:tc>
          <w:tcPr>
            <w:tcW w:w="3044" w:type="dxa"/>
            <w:vAlign w:val="center"/>
          </w:tcPr>
          <w:p w14:paraId="084417D6" w14:textId="77777777" w:rsidR="0025604C" w:rsidRPr="00551C30" w:rsidRDefault="0025604C" w:rsidP="00C138FD">
            <w:pPr>
              <w:jc w:val="center"/>
              <w:rPr>
                <w:b/>
              </w:rPr>
            </w:pPr>
            <w:r>
              <w:rPr>
                <w:b/>
              </w:rPr>
              <w:t>Grouping for regional sub-group analysis</w:t>
            </w:r>
          </w:p>
        </w:tc>
      </w:tr>
      <w:tr w:rsidR="0025604C" w14:paraId="639EFB5D" w14:textId="77777777" w:rsidTr="00C138FD">
        <w:tc>
          <w:tcPr>
            <w:tcW w:w="2937" w:type="dxa"/>
          </w:tcPr>
          <w:p w14:paraId="09A0862F" w14:textId="77777777" w:rsidR="0025604C" w:rsidRDefault="0025604C" w:rsidP="00C138FD">
            <w:r w:rsidRPr="002D40F9">
              <w:t>Austria</w:t>
            </w:r>
          </w:p>
        </w:tc>
        <w:tc>
          <w:tcPr>
            <w:tcW w:w="3075" w:type="dxa"/>
          </w:tcPr>
          <w:p w14:paraId="6E487C82" w14:textId="77777777" w:rsidR="0025604C" w:rsidRDefault="0025604C" w:rsidP="00C138FD">
            <w:pPr>
              <w:jc w:val="center"/>
            </w:pPr>
            <w:r>
              <w:t>3</w:t>
            </w:r>
          </w:p>
        </w:tc>
        <w:tc>
          <w:tcPr>
            <w:tcW w:w="3044" w:type="dxa"/>
          </w:tcPr>
          <w:p w14:paraId="6DDD7358" w14:textId="77777777" w:rsidR="0025604C" w:rsidRDefault="0025604C" w:rsidP="00C138FD">
            <w:pPr>
              <w:jc w:val="center"/>
            </w:pPr>
            <w:r>
              <w:t>South and East</w:t>
            </w:r>
          </w:p>
        </w:tc>
      </w:tr>
      <w:tr w:rsidR="0025604C" w14:paraId="7C8A3A7C" w14:textId="77777777" w:rsidTr="00C138FD">
        <w:tc>
          <w:tcPr>
            <w:tcW w:w="2937" w:type="dxa"/>
          </w:tcPr>
          <w:p w14:paraId="651E1D7D" w14:textId="77777777" w:rsidR="0025604C" w:rsidRDefault="0025604C" w:rsidP="00C138FD">
            <w:r w:rsidRPr="002D40F9">
              <w:t>Belgium</w:t>
            </w:r>
          </w:p>
        </w:tc>
        <w:tc>
          <w:tcPr>
            <w:tcW w:w="3075" w:type="dxa"/>
          </w:tcPr>
          <w:p w14:paraId="4F5E242B" w14:textId="77777777" w:rsidR="0025604C" w:rsidRDefault="0025604C" w:rsidP="00C138FD">
            <w:pPr>
              <w:jc w:val="center"/>
            </w:pPr>
            <w:r>
              <w:t>4</w:t>
            </w:r>
          </w:p>
        </w:tc>
        <w:tc>
          <w:tcPr>
            <w:tcW w:w="3044" w:type="dxa"/>
          </w:tcPr>
          <w:p w14:paraId="699E64B4" w14:textId="77777777" w:rsidR="0025604C" w:rsidRDefault="0025604C" w:rsidP="00C138FD">
            <w:pPr>
              <w:jc w:val="center"/>
            </w:pPr>
            <w:r>
              <w:t>North and West</w:t>
            </w:r>
          </w:p>
        </w:tc>
      </w:tr>
      <w:tr w:rsidR="0025604C" w14:paraId="0585B298" w14:textId="77777777" w:rsidTr="00C138FD">
        <w:tc>
          <w:tcPr>
            <w:tcW w:w="2937" w:type="dxa"/>
          </w:tcPr>
          <w:p w14:paraId="5DF292DE" w14:textId="77777777" w:rsidR="0025604C" w:rsidRDefault="0025604C" w:rsidP="00C138FD">
            <w:r w:rsidRPr="002D40F9">
              <w:t>Bulgaria</w:t>
            </w:r>
          </w:p>
        </w:tc>
        <w:tc>
          <w:tcPr>
            <w:tcW w:w="3075" w:type="dxa"/>
          </w:tcPr>
          <w:p w14:paraId="3DF9372D" w14:textId="77777777" w:rsidR="0025604C" w:rsidRDefault="0025604C" w:rsidP="00C138FD">
            <w:pPr>
              <w:jc w:val="center"/>
            </w:pPr>
            <w:r>
              <w:t>1</w:t>
            </w:r>
          </w:p>
        </w:tc>
        <w:tc>
          <w:tcPr>
            <w:tcW w:w="3044" w:type="dxa"/>
          </w:tcPr>
          <w:p w14:paraId="1CC67BBD" w14:textId="77777777" w:rsidR="0025604C" w:rsidRDefault="0025604C" w:rsidP="00C138FD">
            <w:pPr>
              <w:jc w:val="center"/>
            </w:pPr>
            <w:r>
              <w:t>South and East</w:t>
            </w:r>
          </w:p>
        </w:tc>
      </w:tr>
      <w:tr w:rsidR="0025604C" w14:paraId="0AE48A9A" w14:textId="77777777" w:rsidTr="00C138FD">
        <w:tc>
          <w:tcPr>
            <w:tcW w:w="2937" w:type="dxa"/>
          </w:tcPr>
          <w:p w14:paraId="752115C8" w14:textId="77777777" w:rsidR="0025604C" w:rsidRDefault="0025604C" w:rsidP="00C138FD">
            <w:r w:rsidRPr="002D40F9">
              <w:t>Cyprus</w:t>
            </w:r>
          </w:p>
        </w:tc>
        <w:tc>
          <w:tcPr>
            <w:tcW w:w="3075" w:type="dxa"/>
          </w:tcPr>
          <w:p w14:paraId="114D8C13" w14:textId="77777777" w:rsidR="0025604C" w:rsidRDefault="0025604C" w:rsidP="00C138FD">
            <w:pPr>
              <w:jc w:val="center"/>
            </w:pPr>
            <w:r>
              <w:t>2</w:t>
            </w:r>
          </w:p>
        </w:tc>
        <w:tc>
          <w:tcPr>
            <w:tcW w:w="3044" w:type="dxa"/>
          </w:tcPr>
          <w:p w14:paraId="67037676" w14:textId="77777777" w:rsidR="0025604C" w:rsidRDefault="0025604C" w:rsidP="00C138FD">
            <w:pPr>
              <w:jc w:val="center"/>
            </w:pPr>
            <w:r>
              <w:t>South and East</w:t>
            </w:r>
          </w:p>
        </w:tc>
      </w:tr>
      <w:tr w:rsidR="0025604C" w14:paraId="7A31F537" w14:textId="77777777" w:rsidTr="00C138FD">
        <w:tc>
          <w:tcPr>
            <w:tcW w:w="2937" w:type="dxa"/>
          </w:tcPr>
          <w:p w14:paraId="7CA5E17A" w14:textId="77777777" w:rsidR="0025604C" w:rsidRDefault="0025604C" w:rsidP="00C138FD">
            <w:r w:rsidRPr="002D40F9">
              <w:t>Denmark</w:t>
            </w:r>
          </w:p>
        </w:tc>
        <w:tc>
          <w:tcPr>
            <w:tcW w:w="3075" w:type="dxa"/>
          </w:tcPr>
          <w:p w14:paraId="02C7F39E" w14:textId="77777777" w:rsidR="0025604C" w:rsidRDefault="0025604C" w:rsidP="00C138FD">
            <w:pPr>
              <w:jc w:val="center"/>
            </w:pPr>
            <w:r>
              <w:t>2</w:t>
            </w:r>
          </w:p>
        </w:tc>
        <w:tc>
          <w:tcPr>
            <w:tcW w:w="3044" w:type="dxa"/>
          </w:tcPr>
          <w:p w14:paraId="4BD9B643" w14:textId="77777777" w:rsidR="0025604C" w:rsidRDefault="0025604C" w:rsidP="00C138FD">
            <w:pPr>
              <w:jc w:val="center"/>
            </w:pPr>
            <w:r w:rsidRPr="007A7CBB">
              <w:t>North and West</w:t>
            </w:r>
          </w:p>
        </w:tc>
      </w:tr>
      <w:tr w:rsidR="0025604C" w14:paraId="289B3BAB" w14:textId="77777777" w:rsidTr="00C138FD">
        <w:tc>
          <w:tcPr>
            <w:tcW w:w="2937" w:type="dxa"/>
          </w:tcPr>
          <w:p w14:paraId="69993DC2" w14:textId="77777777" w:rsidR="0025604C" w:rsidRDefault="0025604C" w:rsidP="00C138FD">
            <w:r w:rsidRPr="002D40F9">
              <w:t>France</w:t>
            </w:r>
          </w:p>
        </w:tc>
        <w:tc>
          <w:tcPr>
            <w:tcW w:w="3075" w:type="dxa"/>
          </w:tcPr>
          <w:p w14:paraId="36E32234" w14:textId="77777777" w:rsidR="0025604C" w:rsidRDefault="0025604C" w:rsidP="00C138FD">
            <w:pPr>
              <w:jc w:val="center"/>
            </w:pPr>
            <w:r>
              <w:t>3</w:t>
            </w:r>
          </w:p>
        </w:tc>
        <w:tc>
          <w:tcPr>
            <w:tcW w:w="3044" w:type="dxa"/>
          </w:tcPr>
          <w:p w14:paraId="42A3FFDB" w14:textId="77777777" w:rsidR="0025604C" w:rsidRDefault="0025604C" w:rsidP="00C138FD">
            <w:pPr>
              <w:jc w:val="center"/>
            </w:pPr>
            <w:r w:rsidRPr="007A7CBB">
              <w:t>North and West</w:t>
            </w:r>
          </w:p>
        </w:tc>
      </w:tr>
      <w:tr w:rsidR="0025604C" w14:paraId="5A5807B9" w14:textId="77777777" w:rsidTr="00C138FD">
        <w:tc>
          <w:tcPr>
            <w:tcW w:w="2937" w:type="dxa"/>
          </w:tcPr>
          <w:p w14:paraId="664CD10E" w14:textId="77777777" w:rsidR="0025604C" w:rsidRDefault="0025604C" w:rsidP="00C138FD">
            <w:r w:rsidRPr="002D40F9">
              <w:t>Germany</w:t>
            </w:r>
          </w:p>
        </w:tc>
        <w:tc>
          <w:tcPr>
            <w:tcW w:w="3075" w:type="dxa"/>
          </w:tcPr>
          <w:p w14:paraId="2BFD004C" w14:textId="77777777" w:rsidR="0025604C" w:rsidRDefault="0025604C" w:rsidP="00C138FD">
            <w:pPr>
              <w:jc w:val="center"/>
            </w:pPr>
            <w:r>
              <w:t>3</w:t>
            </w:r>
          </w:p>
        </w:tc>
        <w:tc>
          <w:tcPr>
            <w:tcW w:w="3044" w:type="dxa"/>
          </w:tcPr>
          <w:p w14:paraId="240120E7" w14:textId="77777777" w:rsidR="0025604C" w:rsidRDefault="0025604C" w:rsidP="00C138FD">
            <w:pPr>
              <w:jc w:val="center"/>
            </w:pPr>
            <w:r w:rsidRPr="007A7CBB">
              <w:t>North and West</w:t>
            </w:r>
          </w:p>
        </w:tc>
      </w:tr>
      <w:tr w:rsidR="0025604C" w14:paraId="529D98FC" w14:textId="77777777" w:rsidTr="00C138FD">
        <w:tc>
          <w:tcPr>
            <w:tcW w:w="2937" w:type="dxa"/>
          </w:tcPr>
          <w:p w14:paraId="7E2D1AD2" w14:textId="77777777" w:rsidR="0025604C" w:rsidRDefault="0025604C" w:rsidP="00C138FD">
            <w:r w:rsidRPr="002D40F9">
              <w:t>Greece</w:t>
            </w:r>
          </w:p>
        </w:tc>
        <w:tc>
          <w:tcPr>
            <w:tcW w:w="3075" w:type="dxa"/>
          </w:tcPr>
          <w:p w14:paraId="236AE998" w14:textId="77777777" w:rsidR="0025604C" w:rsidRDefault="0025604C" w:rsidP="00C138FD">
            <w:pPr>
              <w:jc w:val="center"/>
            </w:pPr>
            <w:r>
              <w:t>1</w:t>
            </w:r>
          </w:p>
        </w:tc>
        <w:tc>
          <w:tcPr>
            <w:tcW w:w="3044" w:type="dxa"/>
          </w:tcPr>
          <w:p w14:paraId="57903712" w14:textId="77777777" w:rsidR="0025604C" w:rsidRDefault="0025604C" w:rsidP="00C138FD">
            <w:pPr>
              <w:jc w:val="center"/>
            </w:pPr>
            <w:r>
              <w:t>South and East</w:t>
            </w:r>
          </w:p>
        </w:tc>
      </w:tr>
      <w:tr w:rsidR="0025604C" w14:paraId="3EADA69B" w14:textId="77777777" w:rsidTr="00C138FD">
        <w:tc>
          <w:tcPr>
            <w:tcW w:w="2937" w:type="dxa"/>
          </w:tcPr>
          <w:p w14:paraId="0302E786" w14:textId="77777777" w:rsidR="0025604C" w:rsidRDefault="0025604C" w:rsidP="00C138FD">
            <w:r w:rsidRPr="002D40F9">
              <w:t>Hungary</w:t>
            </w:r>
          </w:p>
        </w:tc>
        <w:tc>
          <w:tcPr>
            <w:tcW w:w="3075" w:type="dxa"/>
          </w:tcPr>
          <w:p w14:paraId="2178A958" w14:textId="77777777" w:rsidR="0025604C" w:rsidRDefault="0025604C" w:rsidP="00C138FD">
            <w:pPr>
              <w:jc w:val="center"/>
            </w:pPr>
            <w:r>
              <w:t>3</w:t>
            </w:r>
          </w:p>
        </w:tc>
        <w:tc>
          <w:tcPr>
            <w:tcW w:w="3044" w:type="dxa"/>
          </w:tcPr>
          <w:p w14:paraId="2D054826" w14:textId="77777777" w:rsidR="0025604C" w:rsidRDefault="0025604C" w:rsidP="00C138FD">
            <w:pPr>
              <w:jc w:val="center"/>
            </w:pPr>
            <w:r>
              <w:t>South and East</w:t>
            </w:r>
          </w:p>
        </w:tc>
      </w:tr>
      <w:tr w:rsidR="0025604C" w14:paraId="6D38F932" w14:textId="77777777" w:rsidTr="00C138FD">
        <w:tc>
          <w:tcPr>
            <w:tcW w:w="2937" w:type="dxa"/>
          </w:tcPr>
          <w:p w14:paraId="26DD691E" w14:textId="77777777" w:rsidR="0025604C" w:rsidRDefault="0025604C" w:rsidP="00C138FD">
            <w:r w:rsidRPr="002D40F9">
              <w:t>Israel</w:t>
            </w:r>
            <w:r w:rsidRPr="002D40F9">
              <w:rPr>
                <w:vertAlign w:val="superscript"/>
              </w:rPr>
              <w:t>#</w:t>
            </w:r>
          </w:p>
        </w:tc>
        <w:tc>
          <w:tcPr>
            <w:tcW w:w="3075" w:type="dxa"/>
          </w:tcPr>
          <w:p w14:paraId="17167174" w14:textId="77777777" w:rsidR="0025604C" w:rsidRDefault="0025604C" w:rsidP="00C138FD">
            <w:pPr>
              <w:jc w:val="center"/>
            </w:pPr>
            <w:r>
              <w:t>4</w:t>
            </w:r>
          </w:p>
        </w:tc>
        <w:tc>
          <w:tcPr>
            <w:tcW w:w="3044" w:type="dxa"/>
          </w:tcPr>
          <w:p w14:paraId="530B228A" w14:textId="77777777" w:rsidR="0025604C" w:rsidRDefault="0025604C" w:rsidP="00C138FD">
            <w:pPr>
              <w:jc w:val="center"/>
            </w:pPr>
            <w:r>
              <w:t>South and East</w:t>
            </w:r>
          </w:p>
        </w:tc>
      </w:tr>
      <w:tr w:rsidR="0025604C" w14:paraId="4914C65F" w14:textId="77777777" w:rsidTr="00C138FD">
        <w:tc>
          <w:tcPr>
            <w:tcW w:w="2937" w:type="dxa"/>
          </w:tcPr>
          <w:p w14:paraId="3DBCF70A" w14:textId="77777777" w:rsidR="0025604C" w:rsidRDefault="0025604C" w:rsidP="00C138FD">
            <w:r w:rsidRPr="002D40F9">
              <w:t>Italy</w:t>
            </w:r>
          </w:p>
        </w:tc>
        <w:tc>
          <w:tcPr>
            <w:tcW w:w="3075" w:type="dxa"/>
          </w:tcPr>
          <w:p w14:paraId="155E087C" w14:textId="77777777" w:rsidR="0025604C" w:rsidRDefault="0025604C" w:rsidP="00C138FD">
            <w:pPr>
              <w:jc w:val="center"/>
            </w:pPr>
            <w:r>
              <w:t>3</w:t>
            </w:r>
          </w:p>
        </w:tc>
        <w:tc>
          <w:tcPr>
            <w:tcW w:w="3044" w:type="dxa"/>
          </w:tcPr>
          <w:p w14:paraId="53784C52" w14:textId="77777777" w:rsidR="0025604C" w:rsidRDefault="0025604C" w:rsidP="00C138FD">
            <w:pPr>
              <w:jc w:val="center"/>
            </w:pPr>
            <w:r>
              <w:t>South and East</w:t>
            </w:r>
          </w:p>
        </w:tc>
      </w:tr>
      <w:tr w:rsidR="0025604C" w14:paraId="548A3F7F" w14:textId="77777777" w:rsidTr="00C138FD">
        <w:tc>
          <w:tcPr>
            <w:tcW w:w="2937" w:type="dxa"/>
          </w:tcPr>
          <w:p w14:paraId="3D0B0985" w14:textId="77777777" w:rsidR="0025604C" w:rsidRDefault="0025604C" w:rsidP="00C138FD">
            <w:r w:rsidRPr="002D40F9">
              <w:t>Latvia</w:t>
            </w:r>
          </w:p>
        </w:tc>
        <w:tc>
          <w:tcPr>
            <w:tcW w:w="3075" w:type="dxa"/>
          </w:tcPr>
          <w:p w14:paraId="6B791971" w14:textId="77777777" w:rsidR="0025604C" w:rsidRDefault="0025604C" w:rsidP="00C138FD">
            <w:pPr>
              <w:jc w:val="center"/>
            </w:pPr>
            <w:r>
              <w:t>3</w:t>
            </w:r>
          </w:p>
        </w:tc>
        <w:tc>
          <w:tcPr>
            <w:tcW w:w="3044" w:type="dxa"/>
          </w:tcPr>
          <w:p w14:paraId="1FD1F3FF" w14:textId="77777777" w:rsidR="0025604C" w:rsidRDefault="0025604C" w:rsidP="00C138FD">
            <w:pPr>
              <w:jc w:val="center"/>
            </w:pPr>
            <w:r>
              <w:t>South and East</w:t>
            </w:r>
          </w:p>
        </w:tc>
      </w:tr>
      <w:tr w:rsidR="0025604C" w14:paraId="21AA9939" w14:textId="77777777" w:rsidTr="00C138FD">
        <w:tc>
          <w:tcPr>
            <w:tcW w:w="2937" w:type="dxa"/>
          </w:tcPr>
          <w:p w14:paraId="56B2DE60" w14:textId="77777777" w:rsidR="0025604C" w:rsidRDefault="0025604C" w:rsidP="00C138FD">
            <w:r w:rsidRPr="002D40F9">
              <w:t>Lithuania</w:t>
            </w:r>
          </w:p>
        </w:tc>
        <w:tc>
          <w:tcPr>
            <w:tcW w:w="3075" w:type="dxa"/>
          </w:tcPr>
          <w:p w14:paraId="2709F0A7" w14:textId="77777777" w:rsidR="0025604C" w:rsidRDefault="0025604C" w:rsidP="00C138FD">
            <w:pPr>
              <w:jc w:val="center"/>
            </w:pPr>
            <w:r>
              <w:t>2</w:t>
            </w:r>
          </w:p>
        </w:tc>
        <w:tc>
          <w:tcPr>
            <w:tcW w:w="3044" w:type="dxa"/>
          </w:tcPr>
          <w:p w14:paraId="43620019" w14:textId="77777777" w:rsidR="0025604C" w:rsidRDefault="0025604C" w:rsidP="00C138FD">
            <w:pPr>
              <w:jc w:val="center"/>
            </w:pPr>
            <w:r>
              <w:t>South and East</w:t>
            </w:r>
          </w:p>
        </w:tc>
      </w:tr>
      <w:tr w:rsidR="0025604C" w14:paraId="0E2578D9" w14:textId="77777777" w:rsidTr="00C138FD">
        <w:tc>
          <w:tcPr>
            <w:tcW w:w="2937" w:type="dxa"/>
          </w:tcPr>
          <w:p w14:paraId="28C4E6E4" w14:textId="77777777" w:rsidR="0025604C" w:rsidRDefault="0025604C" w:rsidP="00C138FD">
            <w:r w:rsidRPr="002D40F9">
              <w:t>Luxembourg</w:t>
            </w:r>
          </w:p>
        </w:tc>
        <w:tc>
          <w:tcPr>
            <w:tcW w:w="3075" w:type="dxa"/>
          </w:tcPr>
          <w:p w14:paraId="24DA81BC" w14:textId="77777777" w:rsidR="0025604C" w:rsidRDefault="0025604C" w:rsidP="00C138FD">
            <w:pPr>
              <w:jc w:val="center"/>
            </w:pPr>
            <w:r>
              <w:t>2</w:t>
            </w:r>
          </w:p>
        </w:tc>
        <w:tc>
          <w:tcPr>
            <w:tcW w:w="3044" w:type="dxa"/>
          </w:tcPr>
          <w:p w14:paraId="6DAFD905" w14:textId="77777777" w:rsidR="0025604C" w:rsidRDefault="0025604C" w:rsidP="00C138FD">
            <w:pPr>
              <w:jc w:val="center"/>
            </w:pPr>
            <w:r w:rsidRPr="00C85801">
              <w:t>North and West</w:t>
            </w:r>
          </w:p>
        </w:tc>
      </w:tr>
      <w:tr w:rsidR="0025604C" w14:paraId="2E27F83E" w14:textId="77777777" w:rsidTr="00C138FD">
        <w:tc>
          <w:tcPr>
            <w:tcW w:w="2937" w:type="dxa"/>
          </w:tcPr>
          <w:p w14:paraId="4E99E330" w14:textId="77777777" w:rsidR="0025604C" w:rsidRDefault="0025604C" w:rsidP="00C138FD">
            <w:r w:rsidRPr="002D40F9">
              <w:t>Malta</w:t>
            </w:r>
          </w:p>
        </w:tc>
        <w:tc>
          <w:tcPr>
            <w:tcW w:w="3075" w:type="dxa"/>
          </w:tcPr>
          <w:p w14:paraId="00AD97C9" w14:textId="77777777" w:rsidR="0025604C" w:rsidRDefault="0025604C" w:rsidP="00C138FD">
            <w:pPr>
              <w:jc w:val="center"/>
            </w:pPr>
            <w:r>
              <w:t>2</w:t>
            </w:r>
          </w:p>
        </w:tc>
        <w:tc>
          <w:tcPr>
            <w:tcW w:w="3044" w:type="dxa"/>
          </w:tcPr>
          <w:p w14:paraId="1EA4AA5A" w14:textId="77777777" w:rsidR="0025604C" w:rsidRDefault="0025604C" w:rsidP="00C138FD">
            <w:pPr>
              <w:jc w:val="center"/>
            </w:pPr>
            <w:r>
              <w:t>South and East</w:t>
            </w:r>
          </w:p>
        </w:tc>
      </w:tr>
      <w:tr w:rsidR="0025604C" w14:paraId="300584B4" w14:textId="77777777" w:rsidTr="00C138FD">
        <w:tc>
          <w:tcPr>
            <w:tcW w:w="2937" w:type="dxa"/>
          </w:tcPr>
          <w:p w14:paraId="4E6B34AF" w14:textId="77777777" w:rsidR="0025604C" w:rsidRDefault="0025604C" w:rsidP="00C138FD">
            <w:r w:rsidRPr="002D40F9">
              <w:t>Netherlands</w:t>
            </w:r>
          </w:p>
        </w:tc>
        <w:tc>
          <w:tcPr>
            <w:tcW w:w="3075" w:type="dxa"/>
          </w:tcPr>
          <w:p w14:paraId="01D0EAB8" w14:textId="77777777" w:rsidR="0025604C" w:rsidRDefault="0025604C" w:rsidP="00C138FD">
            <w:pPr>
              <w:jc w:val="center"/>
            </w:pPr>
            <w:r>
              <w:t>4</w:t>
            </w:r>
          </w:p>
        </w:tc>
        <w:tc>
          <w:tcPr>
            <w:tcW w:w="3044" w:type="dxa"/>
          </w:tcPr>
          <w:p w14:paraId="46C93510" w14:textId="77777777" w:rsidR="0025604C" w:rsidRDefault="0025604C" w:rsidP="00C138FD">
            <w:pPr>
              <w:jc w:val="center"/>
            </w:pPr>
            <w:r w:rsidRPr="00E72055">
              <w:t>North and West</w:t>
            </w:r>
          </w:p>
        </w:tc>
      </w:tr>
      <w:tr w:rsidR="0025604C" w14:paraId="76672436" w14:textId="77777777" w:rsidTr="00C138FD">
        <w:tc>
          <w:tcPr>
            <w:tcW w:w="2937" w:type="dxa"/>
          </w:tcPr>
          <w:p w14:paraId="5EC0A85C" w14:textId="77777777" w:rsidR="0025604C" w:rsidRDefault="0025604C" w:rsidP="00C138FD">
            <w:r w:rsidRPr="002D40F9">
              <w:t>Norway*</w:t>
            </w:r>
          </w:p>
        </w:tc>
        <w:tc>
          <w:tcPr>
            <w:tcW w:w="3075" w:type="dxa"/>
          </w:tcPr>
          <w:p w14:paraId="2007A964" w14:textId="77777777" w:rsidR="0025604C" w:rsidRDefault="0025604C" w:rsidP="00C138FD">
            <w:pPr>
              <w:jc w:val="center"/>
            </w:pPr>
            <w:r>
              <w:t>3</w:t>
            </w:r>
          </w:p>
        </w:tc>
        <w:tc>
          <w:tcPr>
            <w:tcW w:w="3044" w:type="dxa"/>
          </w:tcPr>
          <w:p w14:paraId="60FA1E3E" w14:textId="77777777" w:rsidR="0025604C" w:rsidRDefault="0025604C" w:rsidP="00C138FD">
            <w:pPr>
              <w:jc w:val="center"/>
            </w:pPr>
            <w:r w:rsidRPr="00E72055">
              <w:t>North and West</w:t>
            </w:r>
          </w:p>
        </w:tc>
      </w:tr>
      <w:tr w:rsidR="0025604C" w14:paraId="4ECAB7B0" w14:textId="77777777" w:rsidTr="00C138FD">
        <w:tc>
          <w:tcPr>
            <w:tcW w:w="2937" w:type="dxa"/>
          </w:tcPr>
          <w:p w14:paraId="6DE516D6" w14:textId="77777777" w:rsidR="0025604C" w:rsidRDefault="0025604C" w:rsidP="00C138FD">
            <w:r w:rsidRPr="002D40F9">
              <w:t>Poland</w:t>
            </w:r>
          </w:p>
        </w:tc>
        <w:tc>
          <w:tcPr>
            <w:tcW w:w="3075" w:type="dxa"/>
          </w:tcPr>
          <w:p w14:paraId="08AA0D40" w14:textId="77777777" w:rsidR="0025604C" w:rsidRDefault="0025604C" w:rsidP="00C138FD">
            <w:pPr>
              <w:jc w:val="center"/>
            </w:pPr>
            <w:r>
              <w:t>3</w:t>
            </w:r>
          </w:p>
        </w:tc>
        <w:tc>
          <w:tcPr>
            <w:tcW w:w="3044" w:type="dxa"/>
          </w:tcPr>
          <w:p w14:paraId="7ECB0D50" w14:textId="77777777" w:rsidR="0025604C" w:rsidRDefault="0025604C" w:rsidP="00C138FD">
            <w:pPr>
              <w:jc w:val="center"/>
            </w:pPr>
            <w:r>
              <w:t>South and East</w:t>
            </w:r>
          </w:p>
        </w:tc>
      </w:tr>
      <w:tr w:rsidR="0025604C" w14:paraId="523114A1" w14:textId="77777777" w:rsidTr="00C138FD">
        <w:tc>
          <w:tcPr>
            <w:tcW w:w="2937" w:type="dxa"/>
          </w:tcPr>
          <w:p w14:paraId="51F5BE11" w14:textId="77777777" w:rsidR="0025604C" w:rsidRDefault="0025604C" w:rsidP="00C138FD">
            <w:r w:rsidRPr="002D40F9">
              <w:t>Romania</w:t>
            </w:r>
          </w:p>
        </w:tc>
        <w:tc>
          <w:tcPr>
            <w:tcW w:w="3075" w:type="dxa"/>
          </w:tcPr>
          <w:p w14:paraId="5B8977ED" w14:textId="77777777" w:rsidR="0025604C" w:rsidRDefault="0025604C" w:rsidP="00C138FD">
            <w:pPr>
              <w:jc w:val="center"/>
            </w:pPr>
            <w:r>
              <w:t>3</w:t>
            </w:r>
          </w:p>
        </w:tc>
        <w:tc>
          <w:tcPr>
            <w:tcW w:w="3044" w:type="dxa"/>
          </w:tcPr>
          <w:p w14:paraId="43CAB290" w14:textId="77777777" w:rsidR="0025604C" w:rsidRDefault="0025604C" w:rsidP="00C138FD">
            <w:pPr>
              <w:jc w:val="center"/>
            </w:pPr>
            <w:r>
              <w:t>South and East</w:t>
            </w:r>
          </w:p>
        </w:tc>
      </w:tr>
      <w:tr w:rsidR="0025604C" w14:paraId="03F92D33" w14:textId="77777777" w:rsidTr="00C138FD">
        <w:tc>
          <w:tcPr>
            <w:tcW w:w="2937" w:type="dxa"/>
          </w:tcPr>
          <w:p w14:paraId="3FF147EB" w14:textId="77777777" w:rsidR="0025604C" w:rsidRDefault="0025604C" w:rsidP="00C138FD">
            <w:r w:rsidRPr="002D40F9">
              <w:t>Slovenia</w:t>
            </w:r>
          </w:p>
        </w:tc>
        <w:tc>
          <w:tcPr>
            <w:tcW w:w="3075" w:type="dxa"/>
          </w:tcPr>
          <w:p w14:paraId="2660DDA3" w14:textId="77777777" w:rsidR="0025604C" w:rsidRDefault="0025604C" w:rsidP="00C138FD">
            <w:pPr>
              <w:jc w:val="center"/>
            </w:pPr>
            <w:r>
              <w:t>3</w:t>
            </w:r>
          </w:p>
        </w:tc>
        <w:tc>
          <w:tcPr>
            <w:tcW w:w="3044" w:type="dxa"/>
          </w:tcPr>
          <w:p w14:paraId="6D2372D4" w14:textId="77777777" w:rsidR="0025604C" w:rsidRDefault="0025604C" w:rsidP="00C138FD">
            <w:pPr>
              <w:jc w:val="center"/>
            </w:pPr>
            <w:r>
              <w:t>South and East</w:t>
            </w:r>
          </w:p>
        </w:tc>
      </w:tr>
      <w:tr w:rsidR="0025604C" w14:paraId="30CCAC74" w14:textId="77777777" w:rsidTr="00C138FD">
        <w:tc>
          <w:tcPr>
            <w:tcW w:w="2937" w:type="dxa"/>
          </w:tcPr>
          <w:p w14:paraId="0947AC83" w14:textId="77777777" w:rsidR="0025604C" w:rsidRDefault="0025604C" w:rsidP="00C138FD">
            <w:r w:rsidRPr="002D40F9">
              <w:t>Spain</w:t>
            </w:r>
          </w:p>
        </w:tc>
        <w:tc>
          <w:tcPr>
            <w:tcW w:w="3075" w:type="dxa"/>
          </w:tcPr>
          <w:p w14:paraId="1DB1CCCC" w14:textId="77777777" w:rsidR="0025604C" w:rsidRDefault="0025604C" w:rsidP="00C138FD">
            <w:pPr>
              <w:jc w:val="center"/>
            </w:pPr>
            <w:r>
              <w:t>6</w:t>
            </w:r>
          </w:p>
        </w:tc>
        <w:tc>
          <w:tcPr>
            <w:tcW w:w="3044" w:type="dxa"/>
          </w:tcPr>
          <w:p w14:paraId="490A7238" w14:textId="77777777" w:rsidR="0025604C" w:rsidRDefault="0025604C" w:rsidP="00C138FD">
            <w:pPr>
              <w:jc w:val="center"/>
            </w:pPr>
            <w:r>
              <w:t>South and East</w:t>
            </w:r>
          </w:p>
        </w:tc>
      </w:tr>
      <w:tr w:rsidR="0025604C" w14:paraId="4E447A1A" w14:textId="77777777" w:rsidTr="00C138FD">
        <w:tc>
          <w:tcPr>
            <w:tcW w:w="2937" w:type="dxa"/>
          </w:tcPr>
          <w:p w14:paraId="3700BD60" w14:textId="77777777" w:rsidR="0025604C" w:rsidRDefault="0025604C" w:rsidP="00C138FD">
            <w:r w:rsidRPr="002D40F9">
              <w:t>Sweden</w:t>
            </w:r>
          </w:p>
        </w:tc>
        <w:tc>
          <w:tcPr>
            <w:tcW w:w="3075" w:type="dxa"/>
          </w:tcPr>
          <w:p w14:paraId="326DE08C" w14:textId="77777777" w:rsidR="0025604C" w:rsidRDefault="0025604C" w:rsidP="00C138FD">
            <w:pPr>
              <w:jc w:val="center"/>
            </w:pPr>
            <w:r>
              <w:t>2</w:t>
            </w:r>
          </w:p>
        </w:tc>
        <w:tc>
          <w:tcPr>
            <w:tcW w:w="3044" w:type="dxa"/>
          </w:tcPr>
          <w:p w14:paraId="3C4C1814" w14:textId="77777777" w:rsidR="0025604C" w:rsidRDefault="0025604C" w:rsidP="00C138FD">
            <w:pPr>
              <w:jc w:val="center"/>
            </w:pPr>
            <w:r w:rsidRPr="005731BE">
              <w:t>North and West</w:t>
            </w:r>
          </w:p>
        </w:tc>
      </w:tr>
      <w:tr w:rsidR="0025604C" w14:paraId="62AE5C88" w14:textId="77777777" w:rsidTr="00C138FD">
        <w:tc>
          <w:tcPr>
            <w:tcW w:w="2937" w:type="dxa"/>
          </w:tcPr>
          <w:p w14:paraId="340D122F" w14:textId="77777777" w:rsidR="0025604C" w:rsidRDefault="0025604C" w:rsidP="00C138FD">
            <w:r w:rsidRPr="002D40F9">
              <w:t>Switzerland*</w:t>
            </w:r>
          </w:p>
        </w:tc>
        <w:tc>
          <w:tcPr>
            <w:tcW w:w="3075" w:type="dxa"/>
          </w:tcPr>
          <w:p w14:paraId="747F6DA3" w14:textId="77777777" w:rsidR="0025604C" w:rsidRDefault="0025604C" w:rsidP="00C138FD">
            <w:pPr>
              <w:jc w:val="center"/>
            </w:pPr>
            <w:r>
              <w:t>2</w:t>
            </w:r>
          </w:p>
        </w:tc>
        <w:tc>
          <w:tcPr>
            <w:tcW w:w="3044" w:type="dxa"/>
          </w:tcPr>
          <w:p w14:paraId="579DFAE1" w14:textId="77777777" w:rsidR="0025604C" w:rsidRDefault="0025604C" w:rsidP="00C138FD">
            <w:pPr>
              <w:jc w:val="center"/>
            </w:pPr>
            <w:r w:rsidRPr="005731BE">
              <w:t>North and West</w:t>
            </w:r>
          </w:p>
        </w:tc>
      </w:tr>
      <w:tr w:rsidR="0025604C" w14:paraId="083511D8" w14:textId="77777777" w:rsidTr="00C138FD">
        <w:tc>
          <w:tcPr>
            <w:tcW w:w="2937" w:type="dxa"/>
          </w:tcPr>
          <w:p w14:paraId="5620C298" w14:textId="77777777" w:rsidR="0025604C" w:rsidRDefault="0025604C" w:rsidP="00C138FD">
            <w:r w:rsidRPr="002D40F9">
              <w:t>United Kingdom</w:t>
            </w:r>
          </w:p>
        </w:tc>
        <w:tc>
          <w:tcPr>
            <w:tcW w:w="3075" w:type="dxa"/>
          </w:tcPr>
          <w:p w14:paraId="41D61E5B" w14:textId="77777777" w:rsidR="0025604C" w:rsidRDefault="0025604C" w:rsidP="00C138FD">
            <w:pPr>
              <w:jc w:val="center"/>
            </w:pPr>
            <w:r>
              <w:t>2</w:t>
            </w:r>
          </w:p>
        </w:tc>
        <w:tc>
          <w:tcPr>
            <w:tcW w:w="3044" w:type="dxa"/>
          </w:tcPr>
          <w:p w14:paraId="4E575A6E" w14:textId="77777777" w:rsidR="0025604C" w:rsidRDefault="0025604C" w:rsidP="00C138FD">
            <w:pPr>
              <w:jc w:val="center"/>
            </w:pPr>
            <w:r w:rsidRPr="005731BE">
              <w:t>North and West</w:t>
            </w:r>
          </w:p>
        </w:tc>
      </w:tr>
    </w:tbl>
    <w:p w14:paraId="76FA43D0" w14:textId="77777777" w:rsidR="0025604C" w:rsidRDefault="0025604C" w:rsidP="0025604C"/>
    <w:p w14:paraId="7A08732D" w14:textId="77777777" w:rsidR="0025604C" w:rsidRDefault="0025604C" w:rsidP="0025604C">
      <w:r>
        <w:t>Footnotes:</w:t>
      </w:r>
    </w:p>
    <w:p w14:paraId="313785DA" w14:textId="77777777" w:rsidR="0025604C" w:rsidRPr="00B96C7B" w:rsidRDefault="0025604C" w:rsidP="0025604C">
      <w:r>
        <w:t xml:space="preserve">1. The countries included are all members of the European Union, or </w:t>
      </w:r>
      <w:r w:rsidRPr="00B96C7B">
        <w:t>E</w:t>
      </w:r>
      <w:r>
        <w:t xml:space="preserve">uropean Free Trade Association countries*, or </w:t>
      </w:r>
      <w:r w:rsidRPr="00B96C7B">
        <w:t>Turkey</w:t>
      </w:r>
      <w:r w:rsidRPr="00B96C7B">
        <w:rPr>
          <w:vertAlign w:val="superscript"/>
        </w:rPr>
        <w:t>#</w:t>
      </w:r>
      <w:r w:rsidRPr="00B96C7B">
        <w:t>, Israel</w:t>
      </w:r>
      <w:r w:rsidRPr="00B96C7B">
        <w:rPr>
          <w:vertAlign w:val="superscript"/>
        </w:rPr>
        <w:t>#</w:t>
      </w:r>
    </w:p>
    <w:p w14:paraId="3A16C374" w14:textId="7E33EABE" w:rsidR="0025604C" w:rsidRDefault="0025604C" w:rsidP="0025604C">
      <w:r>
        <w:t>2. No country coordinator could be identified for: Liechtenstein, Portugal or Slovakia. A potential country coordinator was identified but did not reply to the invitation to act</w:t>
      </w:r>
      <w:r w:rsidR="00A73CBE">
        <w:t xml:space="preserve"> as a country coordinator for: </w:t>
      </w:r>
      <w:r>
        <w:t>Croatia, Czech Republic, Estonia, Finland, Iceland, Ireland, Turkey.</w:t>
      </w:r>
    </w:p>
    <w:p w14:paraId="03D8CBC3" w14:textId="77777777" w:rsidR="0025604C" w:rsidRDefault="0025604C">
      <w:pPr>
        <w:rPr>
          <w:b/>
          <w:sz w:val="28"/>
          <w:szCs w:val="28"/>
        </w:rPr>
      </w:pPr>
      <w:r>
        <w:rPr>
          <w:b/>
          <w:sz w:val="28"/>
          <w:szCs w:val="28"/>
        </w:rPr>
        <w:br w:type="page"/>
      </w:r>
    </w:p>
    <w:p w14:paraId="497DD823" w14:textId="499E220E" w:rsidR="00A3124A" w:rsidRPr="000C7E54" w:rsidRDefault="00D06604" w:rsidP="000C7E54">
      <w:pPr>
        <w:spacing w:line="480" w:lineRule="auto"/>
        <w:outlineLvl w:val="0"/>
        <w:rPr>
          <w:sz w:val="28"/>
          <w:szCs w:val="28"/>
        </w:rPr>
      </w:pPr>
      <w:r>
        <w:rPr>
          <w:b/>
          <w:sz w:val="28"/>
          <w:szCs w:val="28"/>
        </w:rPr>
        <w:lastRenderedPageBreak/>
        <w:t xml:space="preserve">Table </w:t>
      </w:r>
      <w:proofErr w:type="spellStart"/>
      <w:r>
        <w:rPr>
          <w:b/>
          <w:sz w:val="28"/>
          <w:szCs w:val="28"/>
        </w:rPr>
        <w:t>S</w:t>
      </w:r>
      <w:r w:rsidR="00A3124A" w:rsidRPr="00A3124A">
        <w:rPr>
          <w:b/>
          <w:sz w:val="28"/>
          <w:szCs w:val="28"/>
        </w:rPr>
        <w:t>2</w:t>
      </w:r>
      <w:proofErr w:type="spellEnd"/>
      <w:r w:rsidR="00A3124A" w:rsidRPr="00A3124A">
        <w:rPr>
          <w:b/>
          <w:sz w:val="28"/>
          <w:szCs w:val="28"/>
        </w:rPr>
        <w:t xml:space="preserve">. </w:t>
      </w:r>
      <w:r w:rsidR="00A3124A" w:rsidRPr="00A3124A">
        <w:rPr>
          <w:sz w:val="28"/>
          <w:szCs w:val="28"/>
        </w:rPr>
        <w:t>Backgrounds of expert panel members.</w:t>
      </w:r>
    </w:p>
    <w:tbl>
      <w:tblPr>
        <w:tblStyle w:val="TableGrid"/>
        <w:tblW w:w="8931" w:type="dxa"/>
        <w:tblLook w:val="04A0" w:firstRow="1" w:lastRow="0" w:firstColumn="1" w:lastColumn="0" w:noHBand="0" w:noVBand="1"/>
      </w:tblPr>
      <w:tblGrid>
        <w:gridCol w:w="5529"/>
        <w:gridCol w:w="2268"/>
        <w:gridCol w:w="1134"/>
      </w:tblGrid>
      <w:tr w:rsidR="00A3124A" w:rsidRPr="00162135" w14:paraId="7B752D60" w14:textId="77777777" w:rsidTr="00B50205">
        <w:trPr>
          <w:trHeight w:val="405"/>
        </w:trPr>
        <w:tc>
          <w:tcPr>
            <w:tcW w:w="5529" w:type="dxa"/>
            <w:tcBorders>
              <w:left w:val="nil"/>
              <w:bottom w:val="single" w:sz="4" w:space="0" w:color="auto"/>
              <w:right w:val="nil"/>
            </w:tcBorders>
            <w:vAlign w:val="center"/>
          </w:tcPr>
          <w:p w14:paraId="7BD99618" w14:textId="77777777" w:rsidR="00A3124A" w:rsidRPr="00162135" w:rsidRDefault="00A3124A" w:rsidP="00A3124A">
            <w:pPr>
              <w:jc w:val="center"/>
              <w:rPr>
                <w:b/>
              </w:rPr>
            </w:pPr>
            <w:r w:rsidRPr="00162135">
              <w:rPr>
                <w:b/>
              </w:rPr>
              <w:t>Item</w:t>
            </w:r>
          </w:p>
        </w:tc>
        <w:tc>
          <w:tcPr>
            <w:tcW w:w="2268" w:type="dxa"/>
            <w:tcBorders>
              <w:left w:val="nil"/>
              <w:bottom w:val="single" w:sz="4" w:space="0" w:color="auto"/>
              <w:right w:val="nil"/>
            </w:tcBorders>
            <w:vAlign w:val="center"/>
          </w:tcPr>
          <w:p w14:paraId="65601FB0" w14:textId="77777777" w:rsidR="00A3124A" w:rsidRPr="00162135" w:rsidRDefault="00A3124A" w:rsidP="00A3124A">
            <w:pPr>
              <w:rPr>
                <w:b/>
              </w:rPr>
            </w:pPr>
            <w:r w:rsidRPr="00162135">
              <w:rPr>
                <w:b/>
              </w:rPr>
              <w:t>Response</w:t>
            </w:r>
          </w:p>
        </w:tc>
        <w:tc>
          <w:tcPr>
            <w:tcW w:w="1134" w:type="dxa"/>
            <w:tcBorders>
              <w:left w:val="nil"/>
              <w:bottom w:val="single" w:sz="4" w:space="0" w:color="auto"/>
              <w:right w:val="nil"/>
            </w:tcBorders>
            <w:vAlign w:val="center"/>
          </w:tcPr>
          <w:p w14:paraId="33AC7E47" w14:textId="77777777" w:rsidR="00A3124A" w:rsidRPr="00162135" w:rsidRDefault="00A3124A" w:rsidP="00A3124A">
            <w:pPr>
              <w:rPr>
                <w:b/>
              </w:rPr>
            </w:pPr>
            <w:r w:rsidRPr="00162135">
              <w:rPr>
                <w:b/>
              </w:rPr>
              <w:t>N (%)</w:t>
            </w:r>
          </w:p>
        </w:tc>
      </w:tr>
      <w:tr w:rsidR="00A3124A" w:rsidRPr="00162135" w14:paraId="4C334141" w14:textId="77777777" w:rsidTr="00B50205">
        <w:tc>
          <w:tcPr>
            <w:tcW w:w="5529" w:type="dxa"/>
            <w:tcBorders>
              <w:top w:val="single" w:sz="4" w:space="0" w:color="auto"/>
              <w:left w:val="nil"/>
              <w:bottom w:val="nil"/>
              <w:right w:val="nil"/>
            </w:tcBorders>
            <w:vAlign w:val="center"/>
          </w:tcPr>
          <w:p w14:paraId="595AB5EF" w14:textId="77777777" w:rsidR="00A3124A" w:rsidRPr="00162135" w:rsidRDefault="00A3124A" w:rsidP="00A3124A">
            <w:r w:rsidRPr="00162135">
              <w:t>Professional background</w:t>
            </w:r>
          </w:p>
        </w:tc>
        <w:tc>
          <w:tcPr>
            <w:tcW w:w="2268" w:type="dxa"/>
            <w:tcBorders>
              <w:top w:val="single" w:sz="4" w:space="0" w:color="auto"/>
              <w:left w:val="nil"/>
              <w:bottom w:val="nil"/>
              <w:right w:val="nil"/>
            </w:tcBorders>
            <w:vAlign w:val="center"/>
          </w:tcPr>
          <w:p w14:paraId="0802679F" w14:textId="77777777" w:rsidR="00A3124A" w:rsidRPr="00162135" w:rsidRDefault="00A3124A" w:rsidP="00A3124A">
            <w:pPr>
              <w:rPr>
                <w:i/>
              </w:rPr>
            </w:pPr>
            <w:r w:rsidRPr="00162135">
              <w:rPr>
                <w:i/>
              </w:rPr>
              <w:t>Medical doctor</w:t>
            </w:r>
          </w:p>
        </w:tc>
        <w:tc>
          <w:tcPr>
            <w:tcW w:w="1134" w:type="dxa"/>
            <w:tcBorders>
              <w:top w:val="single" w:sz="4" w:space="0" w:color="auto"/>
              <w:left w:val="nil"/>
              <w:bottom w:val="nil"/>
              <w:right w:val="nil"/>
            </w:tcBorders>
            <w:vAlign w:val="center"/>
          </w:tcPr>
          <w:p w14:paraId="5F4DF169" w14:textId="77777777" w:rsidR="00A3124A" w:rsidRPr="00162135" w:rsidRDefault="00A3124A" w:rsidP="00A3124A">
            <w:r w:rsidRPr="00162135">
              <w:t>47 (72)</w:t>
            </w:r>
          </w:p>
        </w:tc>
      </w:tr>
      <w:tr w:rsidR="00A3124A" w:rsidRPr="00162135" w14:paraId="5C7B2381" w14:textId="77777777" w:rsidTr="00B50205">
        <w:tc>
          <w:tcPr>
            <w:tcW w:w="5529" w:type="dxa"/>
            <w:tcBorders>
              <w:top w:val="nil"/>
              <w:left w:val="nil"/>
              <w:bottom w:val="nil"/>
              <w:right w:val="nil"/>
            </w:tcBorders>
            <w:vAlign w:val="center"/>
          </w:tcPr>
          <w:p w14:paraId="655B3AF8" w14:textId="77777777" w:rsidR="00A3124A" w:rsidRPr="00162135" w:rsidRDefault="00A3124A" w:rsidP="00A3124A"/>
        </w:tc>
        <w:tc>
          <w:tcPr>
            <w:tcW w:w="2268" w:type="dxa"/>
            <w:tcBorders>
              <w:top w:val="nil"/>
              <w:left w:val="nil"/>
              <w:bottom w:val="nil"/>
              <w:right w:val="nil"/>
            </w:tcBorders>
            <w:vAlign w:val="center"/>
          </w:tcPr>
          <w:p w14:paraId="77F22C8F" w14:textId="77777777" w:rsidR="00A3124A" w:rsidRPr="00162135" w:rsidRDefault="00A3124A" w:rsidP="00A3124A">
            <w:pPr>
              <w:rPr>
                <w:i/>
              </w:rPr>
            </w:pPr>
            <w:r w:rsidRPr="00162135">
              <w:rPr>
                <w:i/>
              </w:rPr>
              <w:t>Pharmacist</w:t>
            </w:r>
          </w:p>
        </w:tc>
        <w:tc>
          <w:tcPr>
            <w:tcW w:w="1134" w:type="dxa"/>
            <w:tcBorders>
              <w:top w:val="nil"/>
              <w:left w:val="nil"/>
              <w:bottom w:val="nil"/>
              <w:right w:val="nil"/>
            </w:tcBorders>
            <w:vAlign w:val="center"/>
          </w:tcPr>
          <w:p w14:paraId="20A45C71" w14:textId="77777777" w:rsidR="00A3124A" w:rsidRPr="00162135" w:rsidRDefault="00A3124A" w:rsidP="00A3124A">
            <w:r w:rsidRPr="00162135">
              <w:t>14 (22)</w:t>
            </w:r>
          </w:p>
        </w:tc>
      </w:tr>
      <w:tr w:rsidR="00A3124A" w:rsidRPr="00162135" w14:paraId="71C69EE1" w14:textId="77777777" w:rsidTr="00B50205">
        <w:tc>
          <w:tcPr>
            <w:tcW w:w="5529" w:type="dxa"/>
            <w:tcBorders>
              <w:top w:val="nil"/>
              <w:left w:val="nil"/>
              <w:bottom w:val="nil"/>
              <w:right w:val="nil"/>
            </w:tcBorders>
            <w:vAlign w:val="center"/>
          </w:tcPr>
          <w:p w14:paraId="7B0DFE80" w14:textId="77777777" w:rsidR="00A3124A" w:rsidRPr="00162135" w:rsidRDefault="00A3124A" w:rsidP="00A3124A"/>
        </w:tc>
        <w:tc>
          <w:tcPr>
            <w:tcW w:w="2268" w:type="dxa"/>
            <w:tcBorders>
              <w:top w:val="nil"/>
              <w:left w:val="nil"/>
              <w:bottom w:val="nil"/>
              <w:right w:val="nil"/>
            </w:tcBorders>
            <w:vAlign w:val="center"/>
          </w:tcPr>
          <w:p w14:paraId="62E97141" w14:textId="77777777" w:rsidR="00A3124A" w:rsidRPr="00162135" w:rsidRDefault="00A3124A" w:rsidP="00A3124A">
            <w:pPr>
              <w:rPr>
                <w:i/>
              </w:rPr>
            </w:pPr>
            <w:r w:rsidRPr="00162135">
              <w:rPr>
                <w:i/>
              </w:rPr>
              <w:t>Other</w:t>
            </w:r>
          </w:p>
          <w:p w14:paraId="30AAB516" w14:textId="77777777" w:rsidR="00A3124A" w:rsidRPr="00162135" w:rsidRDefault="00A3124A" w:rsidP="00A3124A">
            <w:pPr>
              <w:rPr>
                <w:i/>
              </w:rPr>
            </w:pPr>
          </w:p>
        </w:tc>
        <w:tc>
          <w:tcPr>
            <w:tcW w:w="1134" w:type="dxa"/>
            <w:tcBorders>
              <w:top w:val="nil"/>
              <w:left w:val="nil"/>
              <w:bottom w:val="nil"/>
              <w:right w:val="nil"/>
            </w:tcBorders>
            <w:vAlign w:val="center"/>
          </w:tcPr>
          <w:p w14:paraId="1FF1EB1B" w14:textId="77777777" w:rsidR="00A3124A" w:rsidRPr="00162135" w:rsidRDefault="00A3124A" w:rsidP="00A3124A">
            <w:r w:rsidRPr="00162135">
              <w:t>4 (6)</w:t>
            </w:r>
          </w:p>
          <w:p w14:paraId="1ED523AE" w14:textId="77777777" w:rsidR="00A3124A" w:rsidRPr="00162135" w:rsidRDefault="00A3124A" w:rsidP="00A3124A"/>
        </w:tc>
      </w:tr>
      <w:tr w:rsidR="00A3124A" w:rsidRPr="00162135" w14:paraId="5490B59C" w14:textId="77777777" w:rsidTr="00B50205">
        <w:tc>
          <w:tcPr>
            <w:tcW w:w="5529" w:type="dxa"/>
            <w:tcBorders>
              <w:top w:val="nil"/>
              <w:left w:val="nil"/>
              <w:bottom w:val="nil"/>
              <w:right w:val="nil"/>
            </w:tcBorders>
            <w:vAlign w:val="center"/>
          </w:tcPr>
          <w:p w14:paraId="6BCA0151" w14:textId="77777777" w:rsidR="00A3124A" w:rsidRPr="00162135" w:rsidRDefault="00A3124A" w:rsidP="00A3124A">
            <w:r w:rsidRPr="00162135">
              <w:t>Specialty</w:t>
            </w:r>
          </w:p>
        </w:tc>
        <w:tc>
          <w:tcPr>
            <w:tcW w:w="2268" w:type="dxa"/>
            <w:tcBorders>
              <w:top w:val="nil"/>
              <w:left w:val="nil"/>
              <w:bottom w:val="nil"/>
              <w:right w:val="nil"/>
            </w:tcBorders>
            <w:vAlign w:val="center"/>
          </w:tcPr>
          <w:p w14:paraId="3FA169B3" w14:textId="77777777" w:rsidR="00A3124A" w:rsidRPr="00162135" w:rsidRDefault="00A3124A" w:rsidP="00A3124A">
            <w:pPr>
              <w:rPr>
                <w:i/>
              </w:rPr>
            </w:pPr>
            <w:r w:rsidRPr="00162135">
              <w:rPr>
                <w:i/>
              </w:rPr>
              <w:t>Infectious diseases</w:t>
            </w:r>
          </w:p>
        </w:tc>
        <w:tc>
          <w:tcPr>
            <w:tcW w:w="1134" w:type="dxa"/>
            <w:tcBorders>
              <w:top w:val="nil"/>
              <w:left w:val="nil"/>
              <w:bottom w:val="nil"/>
              <w:right w:val="nil"/>
            </w:tcBorders>
            <w:vAlign w:val="center"/>
          </w:tcPr>
          <w:p w14:paraId="2E60D9CF" w14:textId="77777777" w:rsidR="00A3124A" w:rsidRPr="00162135" w:rsidRDefault="00A3124A" w:rsidP="00A3124A">
            <w:r w:rsidRPr="00162135">
              <w:t>33 (51)</w:t>
            </w:r>
          </w:p>
        </w:tc>
      </w:tr>
      <w:tr w:rsidR="00A3124A" w:rsidRPr="00162135" w14:paraId="6458FB9C" w14:textId="77777777" w:rsidTr="00B50205">
        <w:tc>
          <w:tcPr>
            <w:tcW w:w="5529" w:type="dxa"/>
            <w:tcBorders>
              <w:top w:val="nil"/>
              <w:left w:val="nil"/>
              <w:bottom w:val="nil"/>
              <w:right w:val="nil"/>
            </w:tcBorders>
            <w:vAlign w:val="center"/>
          </w:tcPr>
          <w:p w14:paraId="4E941297" w14:textId="77777777" w:rsidR="00A3124A" w:rsidRPr="00162135" w:rsidRDefault="00A3124A" w:rsidP="00A3124A"/>
        </w:tc>
        <w:tc>
          <w:tcPr>
            <w:tcW w:w="2268" w:type="dxa"/>
            <w:tcBorders>
              <w:top w:val="nil"/>
              <w:left w:val="nil"/>
              <w:bottom w:val="nil"/>
              <w:right w:val="nil"/>
            </w:tcBorders>
            <w:vAlign w:val="center"/>
          </w:tcPr>
          <w:p w14:paraId="2199FA6E" w14:textId="77777777" w:rsidR="00A3124A" w:rsidRPr="00162135" w:rsidRDefault="00A3124A" w:rsidP="00A3124A">
            <w:pPr>
              <w:rPr>
                <w:i/>
              </w:rPr>
            </w:pPr>
            <w:r w:rsidRPr="00162135">
              <w:rPr>
                <w:i/>
              </w:rPr>
              <w:t>Clinical microbiology</w:t>
            </w:r>
          </w:p>
        </w:tc>
        <w:tc>
          <w:tcPr>
            <w:tcW w:w="1134" w:type="dxa"/>
            <w:tcBorders>
              <w:top w:val="nil"/>
              <w:left w:val="nil"/>
              <w:bottom w:val="nil"/>
              <w:right w:val="nil"/>
            </w:tcBorders>
            <w:vAlign w:val="center"/>
          </w:tcPr>
          <w:p w14:paraId="2B29240E" w14:textId="77777777" w:rsidR="00A3124A" w:rsidRPr="00162135" w:rsidRDefault="00A3124A" w:rsidP="00A3124A">
            <w:r w:rsidRPr="00162135">
              <w:t>18 (28)</w:t>
            </w:r>
          </w:p>
        </w:tc>
      </w:tr>
      <w:tr w:rsidR="00A3124A" w:rsidRPr="00162135" w14:paraId="020D4879" w14:textId="77777777" w:rsidTr="00B50205">
        <w:tc>
          <w:tcPr>
            <w:tcW w:w="5529" w:type="dxa"/>
            <w:tcBorders>
              <w:top w:val="nil"/>
              <w:left w:val="nil"/>
              <w:bottom w:val="nil"/>
              <w:right w:val="nil"/>
            </w:tcBorders>
            <w:vAlign w:val="center"/>
          </w:tcPr>
          <w:p w14:paraId="44B9774C" w14:textId="77777777" w:rsidR="00A3124A" w:rsidRPr="00162135" w:rsidRDefault="00A3124A" w:rsidP="00A3124A"/>
        </w:tc>
        <w:tc>
          <w:tcPr>
            <w:tcW w:w="2268" w:type="dxa"/>
            <w:tcBorders>
              <w:top w:val="nil"/>
              <w:left w:val="nil"/>
              <w:bottom w:val="nil"/>
              <w:right w:val="nil"/>
            </w:tcBorders>
            <w:vAlign w:val="center"/>
          </w:tcPr>
          <w:p w14:paraId="1A228078" w14:textId="77777777" w:rsidR="00A3124A" w:rsidRPr="00162135" w:rsidRDefault="00A3124A" w:rsidP="00A3124A">
            <w:pPr>
              <w:rPr>
                <w:i/>
              </w:rPr>
            </w:pPr>
            <w:r w:rsidRPr="00162135">
              <w:rPr>
                <w:i/>
              </w:rPr>
              <w:t>Public Health</w:t>
            </w:r>
          </w:p>
        </w:tc>
        <w:tc>
          <w:tcPr>
            <w:tcW w:w="1134" w:type="dxa"/>
            <w:tcBorders>
              <w:top w:val="nil"/>
              <w:left w:val="nil"/>
              <w:bottom w:val="nil"/>
              <w:right w:val="nil"/>
            </w:tcBorders>
            <w:vAlign w:val="center"/>
          </w:tcPr>
          <w:p w14:paraId="38A7379D" w14:textId="77777777" w:rsidR="00A3124A" w:rsidRPr="00162135" w:rsidRDefault="00A3124A" w:rsidP="00A3124A">
            <w:r w:rsidRPr="00162135">
              <w:t>4 (6)</w:t>
            </w:r>
          </w:p>
        </w:tc>
      </w:tr>
      <w:tr w:rsidR="00A3124A" w:rsidRPr="00162135" w14:paraId="67EC044C" w14:textId="77777777" w:rsidTr="00B50205">
        <w:tc>
          <w:tcPr>
            <w:tcW w:w="5529" w:type="dxa"/>
            <w:tcBorders>
              <w:top w:val="nil"/>
              <w:left w:val="nil"/>
              <w:bottom w:val="nil"/>
              <w:right w:val="nil"/>
            </w:tcBorders>
            <w:vAlign w:val="center"/>
          </w:tcPr>
          <w:p w14:paraId="52A1F38B" w14:textId="77777777" w:rsidR="00A3124A" w:rsidRPr="00162135" w:rsidRDefault="00A3124A" w:rsidP="00A3124A"/>
        </w:tc>
        <w:tc>
          <w:tcPr>
            <w:tcW w:w="2268" w:type="dxa"/>
            <w:tcBorders>
              <w:top w:val="nil"/>
              <w:left w:val="nil"/>
              <w:bottom w:val="nil"/>
              <w:right w:val="nil"/>
            </w:tcBorders>
            <w:vAlign w:val="center"/>
          </w:tcPr>
          <w:p w14:paraId="2A08EE12" w14:textId="77777777" w:rsidR="00A3124A" w:rsidRPr="00162135" w:rsidRDefault="00A3124A" w:rsidP="00A3124A">
            <w:pPr>
              <w:rPr>
                <w:i/>
              </w:rPr>
            </w:pPr>
            <w:r w:rsidRPr="00162135">
              <w:rPr>
                <w:i/>
              </w:rPr>
              <w:t>Clinical pharmacy</w:t>
            </w:r>
          </w:p>
        </w:tc>
        <w:tc>
          <w:tcPr>
            <w:tcW w:w="1134" w:type="dxa"/>
            <w:tcBorders>
              <w:top w:val="nil"/>
              <w:left w:val="nil"/>
              <w:bottom w:val="nil"/>
              <w:right w:val="nil"/>
            </w:tcBorders>
            <w:vAlign w:val="center"/>
          </w:tcPr>
          <w:p w14:paraId="33A1F976" w14:textId="77777777" w:rsidR="00A3124A" w:rsidRPr="00162135" w:rsidRDefault="00A3124A" w:rsidP="00A3124A">
            <w:r w:rsidRPr="00162135">
              <w:t>2 (3)</w:t>
            </w:r>
          </w:p>
        </w:tc>
      </w:tr>
      <w:tr w:rsidR="00A3124A" w:rsidRPr="00162135" w14:paraId="3B7C4AF1" w14:textId="77777777" w:rsidTr="00B50205">
        <w:tc>
          <w:tcPr>
            <w:tcW w:w="5529" w:type="dxa"/>
            <w:tcBorders>
              <w:top w:val="nil"/>
              <w:left w:val="nil"/>
              <w:bottom w:val="nil"/>
              <w:right w:val="nil"/>
            </w:tcBorders>
            <w:vAlign w:val="center"/>
          </w:tcPr>
          <w:p w14:paraId="646DCF0B" w14:textId="77777777" w:rsidR="00A3124A" w:rsidRPr="00162135" w:rsidRDefault="00A3124A" w:rsidP="00A3124A"/>
        </w:tc>
        <w:tc>
          <w:tcPr>
            <w:tcW w:w="2268" w:type="dxa"/>
            <w:tcBorders>
              <w:top w:val="nil"/>
              <w:left w:val="nil"/>
              <w:bottom w:val="nil"/>
              <w:right w:val="nil"/>
            </w:tcBorders>
            <w:vAlign w:val="center"/>
          </w:tcPr>
          <w:p w14:paraId="63ACC75D" w14:textId="77777777" w:rsidR="00A3124A" w:rsidRPr="00162135" w:rsidRDefault="00A3124A" w:rsidP="00A3124A">
            <w:pPr>
              <w:rPr>
                <w:i/>
              </w:rPr>
            </w:pPr>
            <w:r w:rsidRPr="00162135">
              <w:rPr>
                <w:i/>
              </w:rPr>
              <w:t>Primary care</w:t>
            </w:r>
          </w:p>
        </w:tc>
        <w:tc>
          <w:tcPr>
            <w:tcW w:w="1134" w:type="dxa"/>
            <w:tcBorders>
              <w:top w:val="nil"/>
              <w:left w:val="nil"/>
              <w:bottom w:val="nil"/>
              <w:right w:val="nil"/>
            </w:tcBorders>
            <w:vAlign w:val="center"/>
          </w:tcPr>
          <w:p w14:paraId="766929FA" w14:textId="77777777" w:rsidR="00A3124A" w:rsidRPr="00162135" w:rsidRDefault="00A3124A" w:rsidP="00A3124A">
            <w:r w:rsidRPr="00162135">
              <w:t>1 (2)</w:t>
            </w:r>
          </w:p>
        </w:tc>
      </w:tr>
      <w:tr w:rsidR="00A3124A" w:rsidRPr="00162135" w14:paraId="46C60486" w14:textId="77777777" w:rsidTr="00B50205">
        <w:tc>
          <w:tcPr>
            <w:tcW w:w="5529" w:type="dxa"/>
            <w:tcBorders>
              <w:top w:val="nil"/>
              <w:left w:val="nil"/>
              <w:bottom w:val="nil"/>
              <w:right w:val="nil"/>
            </w:tcBorders>
            <w:vAlign w:val="center"/>
          </w:tcPr>
          <w:p w14:paraId="2A53C16A" w14:textId="77777777" w:rsidR="00A3124A" w:rsidRPr="00162135" w:rsidRDefault="00A3124A" w:rsidP="00A3124A"/>
        </w:tc>
        <w:tc>
          <w:tcPr>
            <w:tcW w:w="2268" w:type="dxa"/>
            <w:tcBorders>
              <w:top w:val="nil"/>
              <w:left w:val="nil"/>
              <w:bottom w:val="nil"/>
              <w:right w:val="nil"/>
            </w:tcBorders>
            <w:vAlign w:val="center"/>
          </w:tcPr>
          <w:p w14:paraId="6A2FCC62" w14:textId="77777777" w:rsidR="00A3124A" w:rsidRPr="00162135" w:rsidRDefault="00A3124A" w:rsidP="00A3124A">
            <w:pPr>
              <w:rPr>
                <w:i/>
              </w:rPr>
            </w:pPr>
            <w:r w:rsidRPr="00162135">
              <w:rPr>
                <w:i/>
              </w:rPr>
              <w:t>Other/non-clinical</w:t>
            </w:r>
          </w:p>
          <w:p w14:paraId="46C0B361" w14:textId="77777777" w:rsidR="00A3124A" w:rsidRPr="00162135" w:rsidRDefault="00A3124A" w:rsidP="00A3124A">
            <w:pPr>
              <w:rPr>
                <w:i/>
              </w:rPr>
            </w:pPr>
          </w:p>
        </w:tc>
        <w:tc>
          <w:tcPr>
            <w:tcW w:w="1134" w:type="dxa"/>
            <w:tcBorders>
              <w:top w:val="nil"/>
              <w:left w:val="nil"/>
              <w:bottom w:val="nil"/>
              <w:right w:val="nil"/>
            </w:tcBorders>
            <w:vAlign w:val="center"/>
          </w:tcPr>
          <w:p w14:paraId="69AE59AA" w14:textId="77777777" w:rsidR="00A3124A" w:rsidRPr="00162135" w:rsidRDefault="00A3124A" w:rsidP="00A3124A">
            <w:r w:rsidRPr="00162135">
              <w:t>7 (11)</w:t>
            </w:r>
          </w:p>
          <w:p w14:paraId="60B2CF42" w14:textId="77777777" w:rsidR="00A3124A" w:rsidRPr="00162135" w:rsidRDefault="00A3124A" w:rsidP="00A3124A"/>
        </w:tc>
      </w:tr>
      <w:tr w:rsidR="00A3124A" w:rsidRPr="00162135" w14:paraId="75AF425F" w14:textId="77777777" w:rsidTr="00B50205">
        <w:tc>
          <w:tcPr>
            <w:tcW w:w="5529" w:type="dxa"/>
            <w:tcBorders>
              <w:top w:val="nil"/>
              <w:left w:val="nil"/>
              <w:bottom w:val="nil"/>
              <w:right w:val="nil"/>
            </w:tcBorders>
            <w:vAlign w:val="center"/>
          </w:tcPr>
          <w:p w14:paraId="35A85196" w14:textId="77777777" w:rsidR="00A3124A" w:rsidRPr="00162135" w:rsidRDefault="00A3124A" w:rsidP="00A3124A">
            <w:r w:rsidRPr="00162135">
              <w:t>Member of antimicrobial stewardship team</w:t>
            </w:r>
          </w:p>
        </w:tc>
        <w:tc>
          <w:tcPr>
            <w:tcW w:w="2268" w:type="dxa"/>
            <w:tcBorders>
              <w:top w:val="nil"/>
              <w:left w:val="nil"/>
              <w:bottom w:val="nil"/>
              <w:right w:val="nil"/>
            </w:tcBorders>
            <w:vAlign w:val="center"/>
          </w:tcPr>
          <w:p w14:paraId="154EB738" w14:textId="77777777" w:rsidR="00A3124A" w:rsidRPr="00162135" w:rsidRDefault="00A3124A" w:rsidP="00A3124A">
            <w:pPr>
              <w:rPr>
                <w:i/>
              </w:rPr>
            </w:pPr>
            <w:r w:rsidRPr="00162135">
              <w:rPr>
                <w:i/>
              </w:rPr>
              <w:t>Yes</w:t>
            </w:r>
          </w:p>
        </w:tc>
        <w:tc>
          <w:tcPr>
            <w:tcW w:w="1134" w:type="dxa"/>
            <w:tcBorders>
              <w:top w:val="nil"/>
              <w:left w:val="nil"/>
              <w:bottom w:val="nil"/>
              <w:right w:val="nil"/>
            </w:tcBorders>
            <w:vAlign w:val="center"/>
          </w:tcPr>
          <w:p w14:paraId="07D79D03" w14:textId="77777777" w:rsidR="00A3124A" w:rsidRPr="00162135" w:rsidRDefault="00A3124A" w:rsidP="00A3124A">
            <w:r w:rsidRPr="00162135">
              <w:t>49 (75)</w:t>
            </w:r>
          </w:p>
        </w:tc>
      </w:tr>
      <w:tr w:rsidR="00A3124A" w:rsidRPr="00162135" w14:paraId="76E2BBB1" w14:textId="77777777" w:rsidTr="00B50205">
        <w:tc>
          <w:tcPr>
            <w:tcW w:w="5529" w:type="dxa"/>
            <w:tcBorders>
              <w:top w:val="nil"/>
              <w:left w:val="nil"/>
              <w:bottom w:val="nil"/>
              <w:right w:val="nil"/>
            </w:tcBorders>
            <w:vAlign w:val="center"/>
          </w:tcPr>
          <w:p w14:paraId="5F921EE3" w14:textId="77777777" w:rsidR="00A3124A" w:rsidRPr="00162135" w:rsidRDefault="00A3124A" w:rsidP="00A3124A"/>
        </w:tc>
        <w:tc>
          <w:tcPr>
            <w:tcW w:w="2268" w:type="dxa"/>
            <w:tcBorders>
              <w:top w:val="nil"/>
              <w:left w:val="nil"/>
              <w:bottom w:val="nil"/>
              <w:right w:val="nil"/>
            </w:tcBorders>
            <w:vAlign w:val="center"/>
          </w:tcPr>
          <w:p w14:paraId="03B7C55B" w14:textId="77777777" w:rsidR="00A3124A" w:rsidRPr="00162135" w:rsidRDefault="00A3124A" w:rsidP="00A3124A">
            <w:pPr>
              <w:rPr>
                <w:i/>
              </w:rPr>
            </w:pPr>
            <w:r w:rsidRPr="00162135">
              <w:rPr>
                <w:i/>
              </w:rPr>
              <w:t>No / not applicable</w:t>
            </w:r>
          </w:p>
          <w:p w14:paraId="3C1AF433" w14:textId="77777777" w:rsidR="00A3124A" w:rsidRPr="00162135" w:rsidRDefault="00A3124A" w:rsidP="00A3124A">
            <w:pPr>
              <w:rPr>
                <w:i/>
              </w:rPr>
            </w:pPr>
          </w:p>
        </w:tc>
        <w:tc>
          <w:tcPr>
            <w:tcW w:w="1134" w:type="dxa"/>
            <w:tcBorders>
              <w:top w:val="nil"/>
              <w:left w:val="nil"/>
              <w:bottom w:val="nil"/>
              <w:right w:val="nil"/>
            </w:tcBorders>
            <w:vAlign w:val="center"/>
          </w:tcPr>
          <w:p w14:paraId="71170E95" w14:textId="77777777" w:rsidR="00A3124A" w:rsidRPr="00162135" w:rsidRDefault="00A3124A" w:rsidP="00A3124A">
            <w:r w:rsidRPr="00162135">
              <w:t>16 (25)</w:t>
            </w:r>
          </w:p>
          <w:p w14:paraId="1C9763F7" w14:textId="77777777" w:rsidR="00A3124A" w:rsidRPr="00162135" w:rsidRDefault="00A3124A" w:rsidP="00A3124A"/>
        </w:tc>
      </w:tr>
      <w:tr w:rsidR="00A3124A" w:rsidRPr="00162135" w14:paraId="4242FD0A" w14:textId="77777777" w:rsidTr="00B50205">
        <w:tc>
          <w:tcPr>
            <w:tcW w:w="5529" w:type="dxa"/>
            <w:tcBorders>
              <w:top w:val="nil"/>
              <w:left w:val="nil"/>
              <w:bottom w:val="nil"/>
              <w:right w:val="nil"/>
            </w:tcBorders>
            <w:vAlign w:val="center"/>
          </w:tcPr>
          <w:p w14:paraId="734761A5" w14:textId="77777777" w:rsidR="00A3124A" w:rsidRPr="00162135" w:rsidRDefault="00A3124A" w:rsidP="00A3124A">
            <w:r w:rsidRPr="00162135">
              <w:t>Involve</w:t>
            </w:r>
            <w:r>
              <w:t xml:space="preserve">d in teaching undergraduates or </w:t>
            </w:r>
            <w:r w:rsidRPr="00162135">
              <w:t>postgraduates on antimicrobial prescribing or stewardship</w:t>
            </w:r>
          </w:p>
        </w:tc>
        <w:tc>
          <w:tcPr>
            <w:tcW w:w="2268" w:type="dxa"/>
            <w:tcBorders>
              <w:top w:val="nil"/>
              <w:left w:val="nil"/>
              <w:bottom w:val="nil"/>
              <w:right w:val="nil"/>
            </w:tcBorders>
            <w:vAlign w:val="center"/>
          </w:tcPr>
          <w:p w14:paraId="1479E9F6" w14:textId="77777777" w:rsidR="00A3124A" w:rsidRPr="00162135" w:rsidRDefault="00A3124A" w:rsidP="00A3124A">
            <w:pPr>
              <w:rPr>
                <w:i/>
              </w:rPr>
            </w:pPr>
            <w:r w:rsidRPr="00162135">
              <w:rPr>
                <w:i/>
              </w:rPr>
              <w:t>Yes</w:t>
            </w:r>
          </w:p>
        </w:tc>
        <w:tc>
          <w:tcPr>
            <w:tcW w:w="1134" w:type="dxa"/>
            <w:tcBorders>
              <w:top w:val="nil"/>
              <w:left w:val="nil"/>
              <w:bottom w:val="nil"/>
              <w:right w:val="nil"/>
            </w:tcBorders>
            <w:vAlign w:val="center"/>
          </w:tcPr>
          <w:p w14:paraId="24112EF4" w14:textId="77777777" w:rsidR="00A3124A" w:rsidRPr="00162135" w:rsidRDefault="00A3124A" w:rsidP="00A3124A">
            <w:r w:rsidRPr="00162135">
              <w:t>57 (88)</w:t>
            </w:r>
          </w:p>
        </w:tc>
      </w:tr>
      <w:tr w:rsidR="00A3124A" w:rsidRPr="00162135" w14:paraId="50E56295" w14:textId="77777777" w:rsidTr="00B50205">
        <w:tc>
          <w:tcPr>
            <w:tcW w:w="5529" w:type="dxa"/>
            <w:tcBorders>
              <w:top w:val="nil"/>
              <w:left w:val="nil"/>
              <w:bottom w:val="single" w:sz="4" w:space="0" w:color="auto"/>
              <w:right w:val="nil"/>
            </w:tcBorders>
            <w:vAlign w:val="center"/>
          </w:tcPr>
          <w:p w14:paraId="1EF23D87" w14:textId="77777777" w:rsidR="00A3124A" w:rsidRPr="00162135" w:rsidRDefault="00A3124A" w:rsidP="00A3124A"/>
        </w:tc>
        <w:tc>
          <w:tcPr>
            <w:tcW w:w="2268" w:type="dxa"/>
            <w:tcBorders>
              <w:top w:val="nil"/>
              <w:left w:val="nil"/>
              <w:bottom w:val="single" w:sz="4" w:space="0" w:color="auto"/>
              <w:right w:val="nil"/>
            </w:tcBorders>
            <w:vAlign w:val="center"/>
          </w:tcPr>
          <w:p w14:paraId="4E2F362A" w14:textId="77777777" w:rsidR="00A3124A" w:rsidRPr="00162135" w:rsidRDefault="00A3124A" w:rsidP="00A3124A">
            <w:pPr>
              <w:rPr>
                <w:i/>
              </w:rPr>
            </w:pPr>
            <w:r w:rsidRPr="00162135">
              <w:rPr>
                <w:i/>
              </w:rPr>
              <w:t>No</w:t>
            </w:r>
          </w:p>
        </w:tc>
        <w:tc>
          <w:tcPr>
            <w:tcW w:w="1134" w:type="dxa"/>
            <w:tcBorders>
              <w:top w:val="nil"/>
              <w:left w:val="nil"/>
              <w:bottom w:val="single" w:sz="4" w:space="0" w:color="auto"/>
              <w:right w:val="nil"/>
            </w:tcBorders>
            <w:vAlign w:val="center"/>
          </w:tcPr>
          <w:p w14:paraId="043DC619" w14:textId="77777777" w:rsidR="00A3124A" w:rsidRPr="00162135" w:rsidRDefault="00A3124A" w:rsidP="00A3124A">
            <w:r w:rsidRPr="00162135">
              <w:t>8 (12)</w:t>
            </w:r>
          </w:p>
        </w:tc>
      </w:tr>
    </w:tbl>
    <w:p w14:paraId="4741E16F" w14:textId="414137D2" w:rsidR="00A3124A" w:rsidRDefault="00A3124A" w:rsidP="00A3124A">
      <w:pPr>
        <w:rPr>
          <w:b/>
          <w:sz w:val="28"/>
          <w:szCs w:val="28"/>
        </w:rPr>
      </w:pPr>
    </w:p>
    <w:p w14:paraId="762A1F0F" w14:textId="77777777" w:rsidR="00A3124A" w:rsidRDefault="00A3124A">
      <w:pPr>
        <w:rPr>
          <w:b/>
          <w:sz w:val="28"/>
          <w:szCs w:val="28"/>
        </w:rPr>
      </w:pPr>
      <w:r>
        <w:rPr>
          <w:b/>
          <w:sz w:val="28"/>
          <w:szCs w:val="28"/>
        </w:rPr>
        <w:br w:type="page"/>
      </w:r>
    </w:p>
    <w:p w14:paraId="0EEAF152" w14:textId="666C5B01" w:rsidR="001A723F" w:rsidRPr="001A723F" w:rsidRDefault="00D06604" w:rsidP="00766C94">
      <w:pPr>
        <w:outlineLvl w:val="0"/>
        <w:rPr>
          <w:b/>
          <w:sz w:val="28"/>
          <w:szCs w:val="28"/>
        </w:rPr>
      </w:pPr>
      <w:r>
        <w:rPr>
          <w:b/>
          <w:sz w:val="28"/>
          <w:szCs w:val="28"/>
        </w:rPr>
        <w:lastRenderedPageBreak/>
        <w:t xml:space="preserve">List </w:t>
      </w:r>
      <w:proofErr w:type="spellStart"/>
      <w:r>
        <w:rPr>
          <w:b/>
          <w:sz w:val="28"/>
          <w:szCs w:val="28"/>
        </w:rPr>
        <w:t>S1</w:t>
      </w:r>
      <w:proofErr w:type="spellEnd"/>
      <w:r w:rsidR="0025604C">
        <w:rPr>
          <w:b/>
          <w:sz w:val="28"/>
          <w:szCs w:val="28"/>
        </w:rPr>
        <w:t xml:space="preserve">. </w:t>
      </w:r>
      <w:r w:rsidR="0005752F" w:rsidRPr="0025604C">
        <w:rPr>
          <w:sz w:val="28"/>
          <w:szCs w:val="28"/>
        </w:rPr>
        <w:t xml:space="preserve">Competencies set </w:t>
      </w:r>
      <w:r w:rsidR="001B68C5" w:rsidRPr="0025604C">
        <w:rPr>
          <w:sz w:val="28"/>
          <w:szCs w:val="28"/>
        </w:rPr>
        <w:t>accepted by expert panel in final review round</w:t>
      </w:r>
    </w:p>
    <w:p w14:paraId="2DB746DC" w14:textId="2090AA87" w:rsidR="00766C94" w:rsidRDefault="00766C94" w:rsidP="0006686A">
      <w:pPr>
        <w:rPr>
          <w:b/>
        </w:rPr>
      </w:pPr>
    </w:p>
    <w:p w14:paraId="1F6340CD" w14:textId="623EC919" w:rsidR="0006686A" w:rsidRPr="00E00DDE" w:rsidRDefault="0006686A" w:rsidP="0006686A">
      <w:pPr>
        <w:rPr>
          <w:b/>
        </w:rPr>
      </w:pPr>
      <w:r w:rsidRPr="00E00DDE">
        <w:rPr>
          <w:b/>
        </w:rPr>
        <w:t xml:space="preserve">Section 1: </w:t>
      </w:r>
      <w:r w:rsidR="00CB0157">
        <w:rPr>
          <w:b/>
        </w:rPr>
        <w:t>Core</w:t>
      </w:r>
      <w:r w:rsidR="00067C4B">
        <w:rPr>
          <w:b/>
        </w:rPr>
        <w:t xml:space="preserve"> </w:t>
      </w:r>
      <w:r w:rsidR="003505E2">
        <w:rPr>
          <w:b/>
        </w:rPr>
        <w:t xml:space="preserve">concepts in </w:t>
      </w:r>
      <w:r w:rsidR="00067C4B">
        <w:rPr>
          <w:b/>
        </w:rPr>
        <w:t>microbiology</w:t>
      </w:r>
      <w:r w:rsidR="00805B42">
        <w:rPr>
          <w:b/>
        </w:rPr>
        <w:t>, pathogenesis</w:t>
      </w:r>
      <w:r w:rsidR="00067C4B">
        <w:rPr>
          <w:b/>
        </w:rPr>
        <w:t xml:space="preserve"> and d</w:t>
      </w:r>
      <w:r w:rsidR="00067C4B" w:rsidRPr="00E00DDE">
        <w:rPr>
          <w:b/>
        </w:rPr>
        <w:t xml:space="preserve">iagnosing </w:t>
      </w:r>
      <w:r w:rsidRPr="00E00DDE">
        <w:rPr>
          <w:b/>
        </w:rPr>
        <w:t>infections</w:t>
      </w:r>
    </w:p>
    <w:p w14:paraId="3DB9AB6D" w14:textId="77777777" w:rsidR="0006686A" w:rsidRPr="00E00DDE" w:rsidRDefault="0006686A" w:rsidP="0006686A">
      <w:pPr>
        <w:rPr>
          <w:b/>
        </w:rPr>
      </w:pPr>
    </w:p>
    <w:p w14:paraId="452E96C6" w14:textId="7D4C5DC4" w:rsidR="00475CEB" w:rsidRPr="00E00DDE" w:rsidRDefault="0006686A" w:rsidP="0006686A">
      <w:r w:rsidRPr="00E00DDE">
        <w:t xml:space="preserve">1.1. </w:t>
      </w:r>
      <w:r w:rsidR="00475CEB" w:rsidRPr="00E00DDE">
        <w:t>Every independent prescriber must demonstrate that s/he understands </w:t>
      </w:r>
      <w:r w:rsidR="00475CEB" w:rsidRPr="00E00DDE">
        <w:rPr>
          <w:b/>
          <w:bCs/>
        </w:rPr>
        <w:t xml:space="preserve">the </w:t>
      </w:r>
      <w:r w:rsidR="0031562C" w:rsidRPr="00E00DDE">
        <w:rPr>
          <w:b/>
          <w:bCs/>
        </w:rPr>
        <w:t xml:space="preserve">nature and classification </w:t>
      </w:r>
      <w:r w:rsidR="00475CEB" w:rsidRPr="00E00DDE">
        <w:rPr>
          <w:b/>
          <w:bCs/>
        </w:rPr>
        <w:t>of micro-organisms that commonly cause infections in humans</w:t>
      </w:r>
      <w:r w:rsidR="00475CEB" w:rsidRPr="00E00DDE">
        <w:t>.</w:t>
      </w:r>
    </w:p>
    <w:p w14:paraId="65EF106E" w14:textId="77777777" w:rsidR="0006686A" w:rsidRPr="00E00DDE" w:rsidRDefault="0006686A" w:rsidP="0006686A"/>
    <w:p w14:paraId="567ED412" w14:textId="77777777" w:rsidR="00EF6F83" w:rsidRPr="00E00DDE" w:rsidRDefault="00EF6F83" w:rsidP="0006686A"/>
    <w:p w14:paraId="1F563DEE" w14:textId="75B61AB1" w:rsidR="0006686A" w:rsidRPr="00E00DDE" w:rsidRDefault="0006686A" w:rsidP="0006686A">
      <w:r w:rsidRPr="00E00DDE">
        <w:t xml:space="preserve">1.2 Every independent prescriber must demonstrate that s/he understands </w:t>
      </w:r>
      <w:r w:rsidRPr="00E00DDE">
        <w:rPr>
          <w:b/>
          <w:bCs/>
        </w:rPr>
        <w:t xml:space="preserve">the common </w:t>
      </w:r>
      <w:r w:rsidR="0031562C" w:rsidRPr="00E00DDE">
        <w:rPr>
          <w:b/>
          <w:bCs/>
        </w:rPr>
        <w:t xml:space="preserve">microbiology </w:t>
      </w:r>
      <w:r w:rsidRPr="00E00DDE">
        <w:rPr>
          <w:b/>
          <w:bCs/>
        </w:rPr>
        <w:t>aetiology of human infections</w:t>
      </w:r>
      <w:r w:rsidRPr="00E00DDE">
        <w:t>.</w:t>
      </w:r>
    </w:p>
    <w:p w14:paraId="4CF782FF" w14:textId="77777777" w:rsidR="0031562C" w:rsidRPr="00E00DDE" w:rsidRDefault="0031562C" w:rsidP="0006686A"/>
    <w:p w14:paraId="4E695DA8" w14:textId="77777777" w:rsidR="0031562C" w:rsidRPr="00E00DDE" w:rsidRDefault="0031562C" w:rsidP="0006686A"/>
    <w:p w14:paraId="728CCA41" w14:textId="662AE71E" w:rsidR="00EF6F83" w:rsidRPr="00E00DDE" w:rsidRDefault="0006686A" w:rsidP="0006686A">
      <w:r w:rsidRPr="00E00DDE">
        <w:t xml:space="preserve">1.3 </w:t>
      </w:r>
      <w:r w:rsidR="00EF6F83" w:rsidRPr="00E00DDE">
        <w:t>Every independent prescriber must demonstrate that s/he understands </w:t>
      </w:r>
      <w:r w:rsidR="00EF6F83" w:rsidRPr="00E00DDE">
        <w:rPr>
          <w:b/>
          <w:bCs/>
        </w:rPr>
        <w:t>the differences between colonisation (</w:t>
      </w:r>
      <w:r w:rsidR="00C74507" w:rsidRPr="00E00DDE">
        <w:rPr>
          <w:b/>
          <w:bCs/>
        </w:rPr>
        <w:t>e.g. isolation of bacteria from venous leg ulceration with no signs of inflammation</w:t>
      </w:r>
      <w:r w:rsidR="00EF6F83" w:rsidRPr="00E00DDE">
        <w:rPr>
          <w:b/>
          <w:bCs/>
        </w:rPr>
        <w:t>) and infection</w:t>
      </w:r>
      <w:r w:rsidR="00EF6F83" w:rsidRPr="00E00DDE">
        <w:t>.</w:t>
      </w:r>
    </w:p>
    <w:p w14:paraId="25078248" w14:textId="77777777" w:rsidR="00CC4D5F" w:rsidRDefault="00CC4D5F" w:rsidP="00CC4D5F"/>
    <w:p w14:paraId="0E846C36" w14:textId="77777777" w:rsidR="00CC4D5F" w:rsidRDefault="00CC4D5F" w:rsidP="00CC4D5F"/>
    <w:p w14:paraId="7B0E4B19" w14:textId="22F9413B" w:rsidR="00CC4D5F" w:rsidRPr="00E00DDE" w:rsidRDefault="00D053F9" w:rsidP="00CC4D5F">
      <w:r>
        <w:t>1.4</w:t>
      </w:r>
      <w:r w:rsidR="00CC4D5F" w:rsidRPr="00E00DDE">
        <w:t xml:space="preserve"> Every independent prescriber must demonstrate that s/he understands</w:t>
      </w:r>
      <w:r w:rsidR="00CC4D5F" w:rsidRPr="00E00DDE">
        <w:rPr>
          <w:b/>
          <w:bCs/>
        </w:rPr>
        <w:t> that an inflammatory response can be due to both infectious and non-infectious causes (e.g. acute pancreatitis)</w:t>
      </w:r>
      <w:r w:rsidR="00CC4D5F" w:rsidRPr="00E00DDE">
        <w:t>.</w:t>
      </w:r>
    </w:p>
    <w:p w14:paraId="690CD366" w14:textId="77777777" w:rsidR="00EF6F83" w:rsidRPr="00E00DDE" w:rsidRDefault="00EF6F83" w:rsidP="0006686A"/>
    <w:p w14:paraId="2A5801E6" w14:textId="77777777" w:rsidR="0006686A" w:rsidRPr="00E00DDE" w:rsidRDefault="0006686A" w:rsidP="0006686A"/>
    <w:p w14:paraId="09271027" w14:textId="7AE87803" w:rsidR="00EF6F83" w:rsidRPr="00E00DDE" w:rsidRDefault="00D053F9" w:rsidP="006D3B30">
      <w:r>
        <w:t>1.5</w:t>
      </w:r>
      <w:r w:rsidR="0006686A" w:rsidRPr="00E00DDE">
        <w:t> </w:t>
      </w:r>
      <w:r w:rsidR="006D3B30" w:rsidRPr="00E00DDE">
        <w:t>Every independent prescriber must demonstrate that s/he understands </w:t>
      </w:r>
      <w:r w:rsidR="006D3B30" w:rsidRPr="00E00DDE">
        <w:rPr>
          <w:b/>
        </w:rPr>
        <w:t xml:space="preserve">the ways in which </w:t>
      </w:r>
      <w:r w:rsidR="006D3B30" w:rsidRPr="00E00DDE">
        <w:rPr>
          <w:b/>
          <w:bCs/>
        </w:rPr>
        <w:t>micro-organisms are commonly acquired in community and hospital settings</w:t>
      </w:r>
      <w:r w:rsidR="006D3B30" w:rsidRPr="00E00DDE">
        <w:t>.</w:t>
      </w:r>
    </w:p>
    <w:p w14:paraId="2775A0D3" w14:textId="77777777" w:rsidR="00EF6F83" w:rsidRPr="00E00DDE" w:rsidRDefault="00EF6F83" w:rsidP="0006686A"/>
    <w:p w14:paraId="72DB6767" w14:textId="77777777" w:rsidR="0006686A" w:rsidRPr="00E00DDE" w:rsidRDefault="0006686A" w:rsidP="0006686A"/>
    <w:p w14:paraId="7E9B1F3C" w14:textId="668943D4" w:rsidR="00AF69FD" w:rsidRDefault="0006686A" w:rsidP="0006686A">
      <w:r w:rsidRPr="00E00DDE">
        <w:t>1.6 </w:t>
      </w:r>
      <w:r w:rsidR="00AF69FD" w:rsidRPr="00E00DDE">
        <w:t>Every independent prescriber must demonstrate that s/he understands </w:t>
      </w:r>
      <w:r w:rsidR="00AF69FD" w:rsidRPr="00E00DDE">
        <w:rPr>
          <w:b/>
          <w:bCs/>
        </w:rPr>
        <w:t xml:space="preserve">that transmission </w:t>
      </w:r>
      <w:r w:rsidR="00273F8C" w:rsidRPr="00E00DDE">
        <w:rPr>
          <w:b/>
          <w:bCs/>
        </w:rPr>
        <w:t xml:space="preserve">of micro-organisms </w:t>
      </w:r>
      <w:r w:rsidR="00AF69FD" w:rsidRPr="00E00DDE">
        <w:rPr>
          <w:b/>
          <w:bCs/>
        </w:rPr>
        <w:t xml:space="preserve">in community and hospital settings </w:t>
      </w:r>
      <w:r w:rsidR="00273F8C" w:rsidRPr="00E00DDE">
        <w:rPr>
          <w:b/>
          <w:bCs/>
        </w:rPr>
        <w:t>can significantly amplify antimicrobial resistance</w:t>
      </w:r>
      <w:r w:rsidR="00AF69FD" w:rsidRPr="00E00DDE">
        <w:t>.</w:t>
      </w:r>
    </w:p>
    <w:p w14:paraId="3AFC0BF6" w14:textId="72639E14" w:rsidR="00CC4D5F" w:rsidRDefault="00CC4D5F" w:rsidP="0006686A"/>
    <w:p w14:paraId="72B44A91" w14:textId="77777777" w:rsidR="00CC4D5F" w:rsidRPr="00E00DDE" w:rsidRDefault="00CC4D5F" w:rsidP="0006686A"/>
    <w:p w14:paraId="1701099A" w14:textId="7B3D25A7" w:rsidR="00CC4D5F" w:rsidRPr="00E00DDE" w:rsidRDefault="00D053F9" w:rsidP="00CC4D5F">
      <w:r>
        <w:t>1.7</w:t>
      </w:r>
      <w:r w:rsidR="00CC4D5F" w:rsidRPr="00E00DDE">
        <w:t xml:space="preserve"> Every independent prescriber must demonstrate that s/he understands </w:t>
      </w:r>
      <w:r w:rsidR="00CC4D5F" w:rsidRPr="00E00DDE">
        <w:rPr>
          <w:b/>
          <w:bCs/>
        </w:rPr>
        <w:t>how to take a thorough history and perform a physical examination to diagnose common infections and to assess their severity</w:t>
      </w:r>
      <w:r w:rsidR="00CC4D5F" w:rsidRPr="00E00DDE">
        <w:rPr>
          <w:bCs/>
        </w:rPr>
        <w:t>.</w:t>
      </w:r>
    </w:p>
    <w:p w14:paraId="09F105AF" w14:textId="77777777" w:rsidR="00AF69FD" w:rsidRPr="00E00DDE" w:rsidRDefault="00AF69FD" w:rsidP="0006686A"/>
    <w:p w14:paraId="7D8D88E9" w14:textId="77777777" w:rsidR="00273F8C" w:rsidRPr="00E00DDE" w:rsidRDefault="00273F8C" w:rsidP="0006686A"/>
    <w:p w14:paraId="0602706C" w14:textId="1EF63A9B" w:rsidR="00684827" w:rsidRPr="00E00DDE" w:rsidRDefault="007F7CCE" w:rsidP="00684827">
      <w:r w:rsidRPr="00E00DDE">
        <w:t>1.</w:t>
      </w:r>
      <w:r w:rsidR="00D053F9">
        <w:t>8</w:t>
      </w:r>
      <w:r w:rsidR="008E43D7" w:rsidRPr="00E00DDE">
        <w:t xml:space="preserve"> </w:t>
      </w:r>
      <w:r w:rsidR="00684827" w:rsidRPr="00E00DDE">
        <w:t xml:space="preserve">Every independent prescriber must demonstrate that s/he </w:t>
      </w:r>
      <w:r w:rsidR="00684827" w:rsidRPr="00E00DDE">
        <w:rPr>
          <w:bCs/>
        </w:rPr>
        <w:t>understands</w:t>
      </w:r>
      <w:r w:rsidR="00684827" w:rsidRPr="00E00DDE">
        <w:rPr>
          <w:b/>
          <w:bCs/>
        </w:rPr>
        <w:t xml:space="preserve"> how to use and interpret investigations that can help inform diagnosis </w:t>
      </w:r>
      <w:r w:rsidR="006A76F4">
        <w:rPr>
          <w:b/>
          <w:bCs/>
        </w:rPr>
        <w:t xml:space="preserve">of an infection </w:t>
      </w:r>
      <w:r w:rsidR="00684827" w:rsidRPr="00E00DDE">
        <w:rPr>
          <w:b/>
          <w:bCs/>
        </w:rPr>
        <w:t xml:space="preserve">(e.g. </w:t>
      </w:r>
      <w:r w:rsidR="00F94152" w:rsidRPr="00E00DDE">
        <w:rPr>
          <w:b/>
          <w:bCs/>
        </w:rPr>
        <w:t>microbiological investigations</w:t>
      </w:r>
      <w:r w:rsidR="00684827" w:rsidRPr="00E00DDE">
        <w:rPr>
          <w:b/>
          <w:bCs/>
        </w:rPr>
        <w:t>, biomarkers, point-of-care tests)</w:t>
      </w:r>
      <w:r w:rsidR="00684827" w:rsidRPr="00E00DDE">
        <w:t>.</w:t>
      </w:r>
    </w:p>
    <w:p w14:paraId="148306BE" w14:textId="77777777" w:rsidR="00684827" w:rsidRPr="00E00DDE" w:rsidRDefault="00684827" w:rsidP="00684827"/>
    <w:p w14:paraId="59B9A28F" w14:textId="77777777" w:rsidR="0006686A" w:rsidRPr="00E00DDE" w:rsidRDefault="0006686A" w:rsidP="0006686A"/>
    <w:p w14:paraId="5988FA57" w14:textId="2D9F3042" w:rsidR="00684827" w:rsidRPr="00E00DDE" w:rsidRDefault="007F7CCE" w:rsidP="0006686A">
      <w:r w:rsidRPr="00E00DDE">
        <w:t>1.</w:t>
      </w:r>
      <w:r w:rsidR="00D053F9">
        <w:t>9</w:t>
      </w:r>
      <w:r w:rsidR="008E43D7" w:rsidRPr="00E00DDE">
        <w:t xml:space="preserve"> </w:t>
      </w:r>
      <w:r w:rsidR="00684827" w:rsidRPr="00E00DDE">
        <w:t>Every independent prescriber must demonstrate that s/he understands </w:t>
      </w:r>
      <w:r w:rsidR="00684827" w:rsidRPr="00E00DDE">
        <w:rPr>
          <w:b/>
        </w:rPr>
        <w:t>how to use and interpret investigations</w:t>
      </w:r>
      <w:r w:rsidR="00217B00" w:rsidRPr="00E00DDE">
        <w:rPr>
          <w:b/>
        </w:rPr>
        <w:t xml:space="preserve"> </w:t>
      </w:r>
      <w:r w:rsidR="00217B00" w:rsidRPr="00E00DDE">
        <w:rPr>
          <w:b/>
          <w:bCs/>
        </w:rPr>
        <w:t xml:space="preserve">(e.g. </w:t>
      </w:r>
      <w:r w:rsidR="00C25AF3" w:rsidRPr="00E00DDE">
        <w:rPr>
          <w:b/>
          <w:bCs/>
        </w:rPr>
        <w:t>microbiological investigations</w:t>
      </w:r>
      <w:r w:rsidR="00217B00" w:rsidRPr="00E00DDE">
        <w:rPr>
          <w:b/>
          <w:bCs/>
        </w:rPr>
        <w:t>, biomarkers, point-of-care tests)</w:t>
      </w:r>
      <w:r w:rsidR="00684827" w:rsidRPr="00E00DDE">
        <w:rPr>
          <w:b/>
        </w:rPr>
        <w:t xml:space="preserve"> that can help in monitoring the response to treatment of infections</w:t>
      </w:r>
      <w:r w:rsidR="00684827" w:rsidRPr="00E00DDE">
        <w:t>. </w:t>
      </w:r>
    </w:p>
    <w:p w14:paraId="239EBCE1" w14:textId="77777777" w:rsidR="00684827" w:rsidRPr="00E00DDE" w:rsidRDefault="00684827" w:rsidP="0006686A"/>
    <w:p w14:paraId="6B5D8A39" w14:textId="77777777" w:rsidR="0006686A" w:rsidRPr="00E00DDE" w:rsidRDefault="0006686A" w:rsidP="0006686A"/>
    <w:p w14:paraId="042D712B" w14:textId="785A1A15" w:rsidR="00FA5182" w:rsidRPr="00E00DDE" w:rsidRDefault="0006686A" w:rsidP="00FA5182">
      <w:r w:rsidRPr="00E00DDE">
        <w:lastRenderedPageBreak/>
        <w:t>1.1</w:t>
      </w:r>
      <w:r w:rsidR="00D053F9">
        <w:t>0</w:t>
      </w:r>
      <w:r w:rsidRPr="00E00DDE">
        <w:t xml:space="preserve"> </w:t>
      </w:r>
      <w:r w:rsidR="00FA5182" w:rsidRPr="00E00DDE">
        <w:t>Every independent prescriber must demonstrate that s/he understands </w:t>
      </w:r>
      <w:r w:rsidR="00FA5182" w:rsidRPr="00E00DDE">
        <w:rPr>
          <w:b/>
        </w:rPr>
        <w:t>that antimicrobials need to be used responsibly</w:t>
      </w:r>
      <w:r w:rsidR="00FA5182" w:rsidRPr="00E00DDE">
        <w:rPr>
          <w:b/>
          <w:bCs/>
        </w:rPr>
        <w:t xml:space="preserve"> to prevent the emergence and spread of antimicrobial resistance</w:t>
      </w:r>
      <w:r w:rsidR="00FA5182" w:rsidRPr="00E00DDE">
        <w:t>.</w:t>
      </w:r>
    </w:p>
    <w:p w14:paraId="0E2D8157" w14:textId="77777777" w:rsidR="00217B00" w:rsidRPr="00E00DDE" w:rsidRDefault="00217B00" w:rsidP="0006686A"/>
    <w:p w14:paraId="74CF8407" w14:textId="77777777" w:rsidR="0006686A" w:rsidRPr="00E00DDE" w:rsidRDefault="0006686A" w:rsidP="0006686A"/>
    <w:p w14:paraId="19618AF9" w14:textId="7B46DD10" w:rsidR="00F42155" w:rsidRPr="00E00DDE" w:rsidRDefault="00D053F9" w:rsidP="0006686A">
      <w:r>
        <w:t>1.11</w:t>
      </w:r>
      <w:r w:rsidR="0006686A" w:rsidRPr="00E00DDE">
        <w:t xml:space="preserve"> </w:t>
      </w:r>
      <w:r w:rsidR="00C97FE7" w:rsidRPr="00E00DDE">
        <w:t>Every independent prescriber must demonstrate that s/he understands </w:t>
      </w:r>
      <w:r w:rsidR="00286BD0" w:rsidRPr="00E00DDE">
        <w:t xml:space="preserve">that </w:t>
      </w:r>
      <w:r w:rsidR="00286BD0" w:rsidRPr="00E00DDE">
        <w:rPr>
          <w:b/>
        </w:rPr>
        <w:t xml:space="preserve">optimising antimicrobial use can limit </w:t>
      </w:r>
      <w:r w:rsidR="00F42155" w:rsidRPr="00E00DDE">
        <w:rPr>
          <w:b/>
        </w:rPr>
        <w:t>the common side effects an</w:t>
      </w:r>
      <w:r w:rsidR="00286BD0" w:rsidRPr="00E00DDE">
        <w:rPr>
          <w:b/>
        </w:rPr>
        <w:t xml:space="preserve">d collateral damage related to </w:t>
      </w:r>
      <w:r w:rsidR="00F42155" w:rsidRPr="00E00DDE">
        <w:rPr>
          <w:b/>
        </w:rPr>
        <w:t xml:space="preserve">treatment (e.g. their disruptive effects on host </w:t>
      </w:r>
      <w:r w:rsidR="00387DAD" w:rsidRPr="00E00DDE">
        <w:rPr>
          <w:b/>
        </w:rPr>
        <w:t>normal flora, which may lead to</w:t>
      </w:r>
      <w:r w:rsidR="00F42155" w:rsidRPr="00E00DDE">
        <w:rPr>
          <w:b/>
        </w:rPr>
        <w:t xml:space="preserve"> </w:t>
      </w:r>
      <w:r w:rsidR="00F42155" w:rsidRPr="00E00DDE">
        <w:rPr>
          <w:b/>
          <w:i/>
        </w:rPr>
        <w:t>Clostridium difficile</w:t>
      </w:r>
      <w:r w:rsidR="00F42155" w:rsidRPr="00E00DDE">
        <w:rPr>
          <w:b/>
        </w:rPr>
        <w:t xml:space="preserve"> infection, </w:t>
      </w:r>
      <w:r w:rsidR="00805B42">
        <w:rPr>
          <w:b/>
        </w:rPr>
        <w:t xml:space="preserve">super-infection with </w:t>
      </w:r>
      <w:r w:rsidR="00F42155" w:rsidRPr="00E00DDE">
        <w:rPr>
          <w:b/>
          <w:i/>
        </w:rPr>
        <w:t>Candida spp.</w:t>
      </w:r>
      <w:r w:rsidR="00F42155" w:rsidRPr="00E00DDE">
        <w:rPr>
          <w:b/>
        </w:rPr>
        <w:t>)</w:t>
      </w:r>
      <w:r w:rsidR="00F42155" w:rsidRPr="00E00DDE">
        <w:t>.</w:t>
      </w:r>
    </w:p>
    <w:p w14:paraId="3A8EE6A6" w14:textId="7FDE877F" w:rsidR="00F42155" w:rsidRDefault="00F42155" w:rsidP="0006686A"/>
    <w:p w14:paraId="48E82CB5" w14:textId="77777777" w:rsidR="00A5213B" w:rsidRPr="00E00DDE" w:rsidRDefault="00A5213B" w:rsidP="0006686A"/>
    <w:p w14:paraId="17334D77" w14:textId="77777777" w:rsidR="00F42155" w:rsidRPr="00E00DDE" w:rsidRDefault="00F42155" w:rsidP="0006686A"/>
    <w:p w14:paraId="6B82BBBC" w14:textId="76D5D8F6" w:rsidR="0006686A" w:rsidRPr="00E00DDE" w:rsidRDefault="0006686A" w:rsidP="0006686A">
      <w:pPr>
        <w:rPr>
          <w:b/>
        </w:rPr>
      </w:pPr>
      <w:r w:rsidRPr="00E00DDE">
        <w:rPr>
          <w:b/>
        </w:rPr>
        <w:t>Section 2: Antimicrobial prescribing</w:t>
      </w:r>
    </w:p>
    <w:p w14:paraId="11691AAE" w14:textId="77777777" w:rsidR="0006686A" w:rsidRPr="00E00DDE" w:rsidRDefault="0006686A" w:rsidP="0006686A">
      <w:pPr>
        <w:rPr>
          <w:b/>
        </w:rPr>
      </w:pPr>
    </w:p>
    <w:p w14:paraId="134D7B48" w14:textId="5C8668FB" w:rsidR="0068501F" w:rsidRPr="00E00DDE" w:rsidRDefault="00005C0D" w:rsidP="0006686A">
      <w:r w:rsidRPr="00E00DDE">
        <w:t>2.1</w:t>
      </w:r>
      <w:r w:rsidR="009571F2" w:rsidRPr="00E00DDE">
        <w:t xml:space="preserve"> </w:t>
      </w:r>
      <w:r w:rsidR="0068501F" w:rsidRPr="00E00DDE">
        <w:t>Every independent prescriber must demonstrate that s/he understands </w:t>
      </w:r>
      <w:r w:rsidR="0068501F" w:rsidRPr="00E00DDE">
        <w:rPr>
          <w:b/>
          <w:bCs/>
        </w:rPr>
        <w:t>when not to prescribe antimicrobial</w:t>
      </w:r>
      <w:r w:rsidR="007C7DB4" w:rsidRPr="00E00DDE">
        <w:rPr>
          <w:b/>
          <w:bCs/>
        </w:rPr>
        <w:t>s</w:t>
      </w:r>
      <w:r w:rsidR="0068501F" w:rsidRPr="00E00DDE">
        <w:rPr>
          <w:b/>
          <w:bCs/>
        </w:rPr>
        <w:t xml:space="preserve"> (e.g. antibiotics for viral infections</w:t>
      </w:r>
      <w:r w:rsidR="00C25AF3" w:rsidRPr="00E00DDE">
        <w:rPr>
          <w:b/>
          <w:bCs/>
        </w:rPr>
        <w:t>,</w:t>
      </w:r>
      <w:r w:rsidR="0068501F" w:rsidRPr="00E00DDE">
        <w:rPr>
          <w:b/>
          <w:bCs/>
        </w:rPr>
        <w:t xml:space="preserve"> </w:t>
      </w:r>
      <w:r w:rsidR="00C25AF3" w:rsidRPr="00E00DDE">
        <w:rPr>
          <w:b/>
          <w:bCs/>
        </w:rPr>
        <w:t xml:space="preserve">or when there is </w:t>
      </w:r>
      <w:r w:rsidR="0068501F" w:rsidRPr="00E00DDE">
        <w:rPr>
          <w:b/>
          <w:bCs/>
        </w:rPr>
        <w:t>bacterial colonisation)</w:t>
      </w:r>
      <w:r w:rsidR="0068501F" w:rsidRPr="00E00DDE">
        <w:t>.</w:t>
      </w:r>
    </w:p>
    <w:p w14:paraId="119DA07B" w14:textId="77777777" w:rsidR="0068501F" w:rsidRPr="00E00DDE" w:rsidRDefault="0068501F" w:rsidP="0006686A"/>
    <w:p w14:paraId="62221793" w14:textId="77777777" w:rsidR="0006686A" w:rsidRPr="00E00DDE" w:rsidRDefault="0006686A" w:rsidP="0006686A"/>
    <w:p w14:paraId="0B259807" w14:textId="3B0AB42F" w:rsidR="00494989" w:rsidRPr="00E00DDE" w:rsidRDefault="0006686A" w:rsidP="00494989">
      <w:r w:rsidRPr="00E00DDE">
        <w:t>2.2 </w:t>
      </w:r>
      <w:r w:rsidR="0068501F" w:rsidRPr="00E00DDE">
        <w:t>Every independent prescriber must demonstrate that s/he understands</w:t>
      </w:r>
      <w:r w:rsidR="0068501F" w:rsidRPr="00E00DDE">
        <w:rPr>
          <w:b/>
          <w:bCs/>
        </w:rPr>
        <w:t> </w:t>
      </w:r>
      <w:r w:rsidR="00F7328F" w:rsidRPr="00E00DDE">
        <w:rPr>
          <w:b/>
        </w:rPr>
        <w:t xml:space="preserve">best practices </w:t>
      </w:r>
      <w:r w:rsidR="00336402" w:rsidRPr="00E00DDE">
        <w:rPr>
          <w:b/>
        </w:rPr>
        <w:t xml:space="preserve">for some infections </w:t>
      </w:r>
      <w:r w:rsidR="00F7328F" w:rsidRPr="00E00DDE">
        <w:rPr>
          <w:b/>
        </w:rPr>
        <w:t>may not include antimicrobial treatment</w:t>
      </w:r>
      <w:r w:rsidR="00414C2C" w:rsidRPr="00E00DDE">
        <w:rPr>
          <w:b/>
          <w:bCs/>
        </w:rPr>
        <w:t xml:space="preserve"> (e.g. incision and drainage of abscesses</w:t>
      </w:r>
      <w:r w:rsidR="00005C0D" w:rsidRPr="00E00DDE">
        <w:rPr>
          <w:b/>
          <w:bCs/>
        </w:rPr>
        <w:t>, removal of foreign material</w:t>
      </w:r>
      <w:r w:rsidR="00414C2C" w:rsidRPr="00E00DDE">
        <w:rPr>
          <w:b/>
          <w:bCs/>
        </w:rPr>
        <w:t>)</w:t>
      </w:r>
      <w:r w:rsidR="00494989" w:rsidRPr="00E00DDE">
        <w:rPr>
          <w:b/>
          <w:bCs/>
        </w:rPr>
        <w:t>.</w:t>
      </w:r>
    </w:p>
    <w:p w14:paraId="2328DF87" w14:textId="2E9ECE04" w:rsidR="00CF1DE9" w:rsidRDefault="00CF1DE9" w:rsidP="0006686A"/>
    <w:p w14:paraId="1D524C24" w14:textId="77777777" w:rsidR="00DD5726" w:rsidRPr="00E00DDE" w:rsidRDefault="00DD5726" w:rsidP="0006686A"/>
    <w:p w14:paraId="450A760C" w14:textId="378A7EB8" w:rsidR="0006686A" w:rsidRDefault="00DD5726" w:rsidP="0006686A">
      <w:r w:rsidRPr="00E00DDE">
        <w:t>2.</w:t>
      </w:r>
      <w:r w:rsidR="00D053F9">
        <w:t>3</w:t>
      </w:r>
      <w:r w:rsidRPr="00E00DDE">
        <w:t> Understands </w:t>
      </w:r>
      <w:r w:rsidRPr="00E00DDE">
        <w:rPr>
          <w:b/>
          <w:bCs/>
        </w:rPr>
        <w:t>the importance of avoiding the unnecessary use of antimicrobials, especially those with a broad-spectrum</w:t>
      </w:r>
      <w:r w:rsidRPr="00E00DDE">
        <w:t>.</w:t>
      </w:r>
    </w:p>
    <w:p w14:paraId="53671363" w14:textId="308CDA4F" w:rsidR="00556332" w:rsidRPr="00E00DDE" w:rsidRDefault="00556332" w:rsidP="0006686A"/>
    <w:p w14:paraId="345F9CE0" w14:textId="77777777" w:rsidR="00556332" w:rsidRPr="00E00DDE" w:rsidRDefault="00556332" w:rsidP="0006686A"/>
    <w:p w14:paraId="5AD2F8F2" w14:textId="58C39ADC" w:rsidR="0006686A" w:rsidRPr="00E00DDE" w:rsidRDefault="00D053F9" w:rsidP="0006686A">
      <w:r>
        <w:t>2.4</w:t>
      </w:r>
      <w:r w:rsidR="0006686A" w:rsidRPr="00E00DDE">
        <w:t xml:space="preserve"> Every independent prescriber must demonstrate that s/he understands </w:t>
      </w:r>
      <w:r w:rsidR="0006686A" w:rsidRPr="00E00DDE">
        <w:rPr>
          <w:b/>
          <w:bCs/>
        </w:rPr>
        <w:t>key elements of initiating prescribing an antimicrobial (indicated below)</w:t>
      </w:r>
      <w:r w:rsidR="0006686A" w:rsidRPr="00E00DDE">
        <w:t>, and uses this knowledge when prescribing:</w:t>
      </w:r>
      <w:r w:rsidR="00DD5726" w:rsidRPr="00DD5726">
        <w:t xml:space="preserve"> </w:t>
      </w:r>
    </w:p>
    <w:p w14:paraId="55C06DDF" w14:textId="77777777" w:rsidR="00AD6188" w:rsidRPr="00E00DDE" w:rsidRDefault="00AD6188" w:rsidP="00AD6188">
      <w:pPr>
        <w:pStyle w:val="ListParagraph"/>
        <w:numPr>
          <w:ilvl w:val="0"/>
          <w:numId w:val="1"/>
        </w:numPr>
      </w:pPr>
      <w:r w:rsidRPr="00E00DDE">
        <w:t>the choice and dose of agent</w:t>
      </w:r>
    </w:p>
    <w:p w14:paraId="60790E5C" w14:textId="77777777" w:rsidR="0006686A" w:rsidRPr="00E00DDE" w:rsidRDefault="0006686A" w:rsidP="0006686A">
      <w:pPr>
        <w:numPr>
          <w:ilvl w:val="0"/>
          <w:numId w:val="1"/>
        </w:numPr>
      </w:pPr>
      <w:r w:rsidRPr="00E00DDE">
        <w:t>the route of administration</w:t>
      </w:r>
    </w:p>
    <w:p w14:paraId="669E9A04" w14:textId="6D877E17" w:rsidR="00AD6188" w:rsidRPr="00E00DDE" w:rsidRDefault="00AD6188" w:rsidP="00AD6188">
      <w:pPr>
        <w:pStyle w:val="ListParagraph"/>
        <w:numPr>
          <w:ilvl w:val="0"/>
          <w:numId w:val="1"/>
        </w:numPr>
        <w:rPr>
          <w:sz w:val="26"/>
          <w:szCs w:val="26"/>
        </w:rPr>
      </w:pPr>
      <w:r w:rsidRPr="00E00DDE">
        <w:t>the timing of antibiotic administration in different situations (e.g. as soon as possible for life-threatening infections, less urgently for chronic bone infections)</w:t>
      </w:r>
    </w:p>
    <w:p w14:paraId="7A54DA1E" w14:textId="77777777" w:rsidR="0006686A" w:rsidRPr="00E00DDE" w:rsidRDefault="0006686A" w:rsidP="0006686A">
      <w:pPr>
        <w:numPr>
          <w:ilvl w:val="0"/>
          <w:numId w:val="1"/>
        </w:numPr>
      </w:pPr>
      <w:r w:rsidRPr="00E00DDE">
        <w:t>obtaining relevant microbiological cultures or relevant tests before commencing treatment</w:t>
      </w:r>
    </w:p>
    <w:p w14:paraId="2440B021" w14:textId="77777777" w:rsidR="0006686A" w:rsidRPr="00E00DDE" w:rsidRDefault="0006686A" w:rsidP="0006686A">
      <w:pPr>
        <w:numPr>
          <w:ilvl w:val="0"/>
          <w:numId w:val="1"/>
        </w:numPr>
      </w:pPr>
      <w:r w:rsidRPr="00E00DDE">
        <w:t xml:space="preserve">the duration of treatment </w:t>
      </w:r>
    </w:p>
    <w:p w14:paraId="60B1A5F2" w14:textId="77777777" w:rsidR="0006686A" w:rsidRPr="00E00DDE" w:rsidRDefault="0006686A" w:rsidP="0006686A">
      <w:pPr>
        <w:numPr>
          <w:ilvl w:val="0"/>
          <w:numId w:val="1"/>
        </w:numPr>
      </w:pPr>
      <w:r w:rsidRPr="00E00DDE">
        <w:t>the review dates</w:t>
      </w:r>
    </w:p>
    <w:p w14:paraId="1A382B74" w14:textId="77777777" w:rsidR="0006686A" w:rsidRPr="00E00DDE" w:rsidRDefault="0006686A" w:rsidP="0006686A">
      <w:pPr>
        <w:numPr>
          <w:ilvl w:val="0"/>
          <w:numId w:val="1"/>
        </w:numPr>
      </w:pPr>
      <w:r w:rsidRPr="00E00DDE">
        <w:t>the stop dates</w:t>
      </w:r>
    </w:p>
    <w:p w14:paraId="3547A652" w14:textId="59AEFD44" w:rsidR="00556332" w:rsidRPr="00E00DDE" w:rsidRDefault="00556332" w:rsidP="0006686A"/>
    <w:p w14:paraId="29370D9E" w14:textId="77777777" w:rsidR="009D296C" w:rsidRPr="00E00DDE" w:rsidRDefault="009D296C" w:rsidP="0006686A"/>
    <w:p w14:paraId="274372D9" w14:textId="48E13897" w:rsidR="0006686A" w:rsidRPr="00E00DDE" w:rsidRDefault="00D053F9" w:rsidP="0006686A">
      <w:r>
        <w:t>2.5</w:t>
      </w:r>
      <w:r w:rsidR="0006686A" w:rsidRPr="00E00DDE">
        <w:t xml:space="preserve"> Every independent prescriber must demonstrate that s/he understands</w:t>
      </w:r>
      <w:r w:rsidR="0006686A" w:rsidRPr="00E00DDE">
        <w:rPr>
          <w:b/>
          <w:bCs/>
        </w:rPr>
        <w:t> the key elements of a logical approach to continuation and rationalisation of antimicrobial therapy (indicated below)</w:t>
      </w:r>
      <w:r w:rsidR="0006686A" w:rsidRPr="00E00DDE">
        <w:t>:</w:t>
      </w:r>
    </w:p>
    <w:p w14:paraId="150695C5" w14:textId="77777777" w:rsidR="00DA352A" w:rsidRPr="00E00DDE" w:rsidRDefault="00DA352A" w:rsidP="00DA352A">
      <w:pPr>
        <w:numPr>
          <w:ilvl w:val="0"/>
          <w:numId w:val="3"/>
        </w:numPr>
      </w:pPr>
      <w:r w:rsidRPr="00E00DDE">
        <w:t>adjusting doses (e.g. for patients with renal impairment), and where to seek advice about this</w:t>
      </w:r>
    </w:p>
    <w:p w14:paraId="38AC546D" w14:textId="77777777" w:rsidR="00DA352A" w:rsidRPr="00E00DDE" w:rsidRDefault="00DA352A" w:rsidP="00DA352A">
      <w:pPr>
        <w:numPr>
          <w:ilvl w:val="0"/>
          <w:numId w:val="3"/>
        </w:numPr>
      </w:pPr>
      <w:r w:rsidRPr="00E00DDE">
        <w:lastRenderedPageBreak/>
        <w:t>monitoring antibiotic levels when indicated, and where to seek advice about this</w:t>
      </w:r>
    </w:p>
    <w:p w14:paraId="6AA71672" w14:textId="77777777" w:rsidR="00DA352A" w:rsidRPr="00E00DDE" w:rsidRDefault="00DA352A" w:rsidP="00DA352A">
      <w:pPr>
        <w:numPr>
          <w:ilvl w:val="0"/>
          <w:numId w:val="3"/>
        </w:numPr>
      </w:pPr>
      <w:r w:rsidRPr="00E00DDE">
        <w:t xml:space="preserve">reviewing antibiotic therapy at 48 to </w:t>
      </w:r>
      <w:proofErr w:type="spellStart"/>
      <w:r w:rsidRPr="00E00DDE">
        <w:t>72h</w:t>
      </w:r>
      <w:proofErr w:type="spellEnd"/>
      <w:r w:rsidRPr="00E00DDE">
        <w:t xml:space="preserve"> and regularly thereafter in hospitalised patients, and in appropriate situations in the community </w:t>
      </w:r>
    </w:p>
    <w:p w14:paraId="7D74EA46" w14:textId="77777777" w:rsidR="00DA352A" w:rsidRPr="00E00DDE" w:rsidRDefault="00DA352A" w:rsidP="00DA352A">
      <w:pPr>
        <w:numPr>
          <w:ilvl w:val="0"/>
          <w:numId w:val="3"/>
        </w:numPr>
      </w:pPr>
      <w:r w:rsidRPr="00E00DDE">
        <w:t xml:space="preserve">switching antibiotics from intravenous to oral administration as soon as possible when indicated (according to guidelines) </w:t>
      </w:r>
    </w:p>
    <w:p w14:paraId="16220B00" w14:textId="45A5D757" w:rsidR="0006686A" w:rsidRPr="00E00DDE" w:rsidRDefault="0006686A" w:rsidP="0006686A">
      <w:pPr>
        <w:numPr>
          <w:ilvl w:val="0"/>
          <w:numId w:val="3"/>
        </w:numPr>
      </w:pPr>
      <w:r w:rsidRPr="00E00DDE">
        <w:t>chang</w:t>
      </w:r>
      <w:r w:rsidR="00DA352A" w:rsidRPr="00E00DDE">
        <w:t>ing</w:t>
      </w:r>
      <w:r w:rsidRPr="00E00DDE">
        <w:t xml:space="preserve"> antibiotics, ideally to a narrower spectrum (de-escalation) or broader (escalation), according to microbiology results and clinical condition</w:t>
      </w:r>
    </w:p>
    <w:p w14:paraId="330CB45A" w14:textId="11754652" w:rsidR="0006686A" w:rsidRPr="00E00DDE" w:rsidRDefault="0006686A" w:rsidP="0006686A">
      <w:pPr>
        <w:numPr>
          <w:ilvl w:val="0"/>
          <w:numId w:val="3"/>
        </w:numPr>
      </w:pPr>
      <w:r w:rsidRPr="00E00DDE">
        <w:t>stop</w:t>
      </w:r>
      <w:r w:rsidR="00DA352A" w:rsidRPr="00E00DDE">
        <w:t>ping</w:t>
      </w:r>
      <w:r w:rsidRPr="00E00DDE">
        <w:t xml:space="preserve"> antibiotics if there is no evidence of infection based on clinical findings and investigations e.g. negative microbial cultures, imaging reports</w:t>
      </w:r>
      <w:r w:rsidRPr="00E00DDE" w:rsidDel="003D44FB">
        <w:t xml:space="preserve"> </w:t>
      </w:r>
    </w:p>
    <w:p w14:paraId="0EEA8DC9" w14:textId="723FCAF0" w:rsidR="00D03B0D" w:rsidRDefault="00D03B0D" w:rsidP="0006686A"/>
    <w:p w14:paraId="145955A5" w14:textId="77777777" w:rsidR="00DD5726" w:rsidRPr="00E00DDE" w:rsidRDefault="00DD5726" w:rsidP="0006686A"/>
    <w:p w14:paraId="51770787" w14:textId="6F10CDCB" w:rsidR="00DD5726" w:rsidRPr="00E00DDE" w:rsidRDefault="00DD5726" w:rsidP="00DD5726">
      <w:r w:rsidRPr="00E00DDE">
        <w:t>2.6 Every independent prescriber must demonstrate that s/he understands </w:t>
      </w:r>
      <w:r w:rsidRPr="00E00DDE">
        <w:rPr>
          <w:b/>
        </w:rPr>
        <w:t>the need to document the important details of the antimicrobial treatment plan (e.g. agent, dosing, administration route, clinical indication, duration and review dates) in the prescription chart, medical records and transfer notes to other healthcare institutions</w:t>
      </w:r>
      <w:r w:rsidRPr="00E00DDE">
        <w:t>.</w:t>
      </w:r>
    </w:p>
    <w:p w14:paraId="6E2FA04F" w14:textId="77777777" w:rsidR="00C76553" w:rsidRPr="00E00DDE" w:rsidRDefault="00C76553" w:rsidP="0006686A"/>
    <w:p w14:paraId="25BE09A6" w14:textId="4237698B" w:rsidR="00C76553" w:rsidRPr="00E00DDE" w:rsidRDefault="00C76553" w:rsidP="0006686A"/>
    <w:p w14:paraId="0B762287" w14:textId="743F43A4" w:rsidR="0006686A" w:rsidRPr="00E00DDE" w:rsidRDefault="00D053F9" w:rsidP="0006686A">
      <w:r>
        <w:t xml:space="preserve">2.7 </w:t>
      </w:r>
      <w:r w:rsidR="0006686A" w:rsidRPr="00E00DDE">
        <w:t>Every independent prescriber must demonstrate that s/he understands </w:t>
      </w:r>
      <w:r w:rsidR="0006686A" w:rsidRPr="00E00DDE">
        <w:rPr>
          <w:b/>
          <w:bCs/>
        </w:rPr>
        <w:t xml:space="preserve">single prophylactic antimicrobial dosing for surgical and other procedures for which prophylaxis has been shown to be </w:t>
      </w:r>
      <w:proofErr w:type="gramStart"/>
      <w:r w:rsidR="0006686A" w:rsidRPr="00E00DDE">
        <w:rPr>
          <w:b/>
          <w:bCs/>
        </w:rPr>
        <w:t>effective</w:t>
      </w:r>
      <w:r w:rsidR="0006686A" w:rsidRPr="00E00DDE">
        <w:t>, and</w:t>
      </w:r>
      <w:proofErr w:type="gramEnd"/>
      <w:r w:rsidR="0006686A" w:rsidRPr="00E00DDE">
        <w:t xml:space="preserve"> uses this knowledge when prescribing.</w:t>
      </w:r>
    </w:p>
    <w:p w14:paraId="16816961" w14:textId="77777777" w:rsidR="00F73BEA" w:rsidRPr="00E00DDE" w:rsidRDefault="00F73BEA" w:rsidP="0006686A"/>
    <w:p w14:paraId="5071A390" w14:textId="77777777" w:rsidR="005E4535" w:rsidRPr="00E00DDE" w:rsidRDefault="005E4535" w:rsidP="0006686A"/>
    <w:p w14:paraId="3D959085" w14:textId="0B94B250" w:rsidR="005E4535" w:rsidRDefault="00D053F9" w:rsidP="0006686A">
      <w:r>
        <w:t>2.8</w:t>
      </w:r>
      <w:r w:rsidR="005E4535" w:rsidRPr="00E00DDE">
        <w:t xml:space="preserve"> Every independent prescriber must demonstrate that s/he understands </w:t>
      </w:r>
      <w:r w:rsidR="005E4535" w:rsidRPr="00E00DDE">
        <w:rPr>
          <w:b/>
          <w:bCs/>
        </w:rPr>
        <w:t>that additional prophylactic antimicrobial doses can be needed (e.g. when the duration of the operation/procedure is prolonged)</w:t>
      </w:r>
      <w:r w:rsidR="005E4535" w:rsidRPr="00E00DDE">
        <w:t>.</w:t>
      </w:r>
    </w:p>
    <w:p w14:paraId="5A58ECA1" w14:textId="207ABE32" w:rsidR="00DD5726" w:rsidRDefault="00DD5726" w:rsidP="0006686A"/>
    <w:p w14:paraId="1FDF589C" w14:textId="77777777" w:rsidR="00DD5726" w:rsidRPr="00E00DDE" w:rsidRDefault="00DD5726" w:rsidP="0006686A"/>
    <w:p w14:paraId="1889BFD4" w14:textId="57F5C507" w:rsidR="001509FA" w:rsidRPr="00E00DDE" w:rsidRDefault="00D053F9" w:rsidP="001509FA">
      <w:r>
        <w:t xml:space="preserve">2.9 </w:t>
      </w:r>
      <w:r w:rsidR="00AD29E9">
        <w:t>When prescribing an antimicrobial, e</w:t>
      </w:r>
      <w:r w:rsidR="001509FA" w:rsidRPr="00E00DDE">
        <w:t xml:space="preserve">very independent prescriber must demonstrate that s/he </w:t>
      </w:r>
      <w:r w:rsidR="00837F24" w:rsidRPr="00837F24">
        <w:rPr>
          <w:b/>
        </w:rPr>
        <w:t xml:space="preserve">knows </w:t>
      </w:r>
      <w:r w:rsidR="00837F24">
        <w:rPr>
          <w:b/>
        </w:rPr>
        <w:t xml:space="preserve">which </w:t>
      </w:r>
      <w:r w:rsidR="00837F24" w:rsidRPr="00837F24">
        <w:rPr>
          <w:b/>
          <w:bCs/>
        </w:rPr>
        <w:t xml:space="preserve">antimicrobial class </w:t>
      </w:r>
      <w:r w:rsidR="00AD29E9">
        <w:rPr>
          <w:b/>
          <w:bCs/>
        </w:rPr>
        <w:t xml:space="preserve">the agent belongs to, </w:t>
      </w:r>
      <w:r w:rsidR="009949A5">
        <w:rPr>
          <w:b/>
          <w:bCs/>
        </w:rPr>
        <w:t>and</w:t>
      </w:r>
      <w:r w:rsidR="00837F24" w:rsidRPr="00837F24">
        <w:rPr>
          <w:b/>
          <w:bCs/>
        </w:rPr>
        <w:t xml:space="preserve"> </w:t>
      </w:r>
      <w:r w:rsidR="00AD29E9">
        <w:rPr>
          <w:b/>
          <w:bCs/>
        </w:rPr>
        <w:t xml:space="preserve">that s/he </w:t>
      </w:r>
      <w:r w:rsidR="00837F24">
        <w:rPr>
          <w:b/>
        </w:rPr>
        <w:t>understands</w:t>
      </w:r>
      <w:r w:rsidR="00837F24" w:rsidRPr="00837F24">
        <w:rPr>
          <w:b/>
        </w:rPr>
        <w:t xml:space="preserve"> </w:t>
      </w:r>
      <w:r w:rsidR="00837F24" w:rsidRPr="00837F24">
        <w:rPr>
          <w:b/>
          <w:bCs/>
        </w:rPr>
        <w:t>the contraindications to its use</w:t>
      </w:r>
      <w:r w:rsidR="00BB397C">
        <w:rPr>
          <w:b/>
          <w:bCs/>
        </w:rPr>
        <w:t>.</w:t>
      </w:r>
    </w:p>
    <w:p w14:paraId="57FB68BF" w14:textId="77777777" w:rsidR="00DD5726" w:rsidRDefault="00DD5726" w:rsidP="00DD5726"/>
    <w:p w14:paraId="6D3FD216" w14:textId="77777777" w:rsidR="00DD5726" w:rsidRDefault="00DD5726" w:rsidP="00DD5726"/>
    <w:p w14:paraId="4A8188EA" w14:textId="7E838773" w:rsidR="00DD5726" w:rsidRDefault="00DD5726" w:rsidP="00DD5726">
      <w:pPr>
        <w:rPr>
          <w:b/>
          <w:bCs/>
        </w:rPr>
      </w:pPr>
      <w:r w:rsidRPr="00E00DDE">
        <w:t>2.1</w:t>
      </w:r>
      <w:r w:rsidR="00D053F9">
        <w:t>0</w:t>
      </w:r>
      <w:r w:rsidRPr="00E00DDE">
        <w:t xml:space="preserve"> </w:t>
      </w:r>
      <w:r w:rsidRPr="00E00DDE">
        <w:rPr>
          <w:b/>
          <w:bCs/>
        </w:rPr>
        <w:t xml:space="preserve">If prescribing by trade name, every independent prescriber must know </w:t>
      </w:r>
      <w:r>
        <w:rPr>
          <w:b/>
          <w:bCs/>
        </w:rPr>
        <w:t xml:space="preserve">the generic name </w:t>
      </w:r>
      <w:r w:rsidRPr="00E00DDE">
        <w:rPr>
          <w:b/>
          <w:bCs/>
        </w:rPr>
        <w:t>and class of antimicrobial being prescribed.</w:t>
      </w:r>
    </w:p>
    <w:p w14:paraId="2CD0059B" w14:textId="77777777" w:rsidR="00DD5726" w:rsidRPr="00E00DDE" w:rsidRDefault="00DD5726" w:rsidP="00DD5726"/>
    <w:p w14:paraId="3F6642E7" w14:textId="77777777" w:rsidR="00893CBA" w:rsidRPr="00E00DDE" w:rsidRDefault="00893CBA" w:rsidP="0006686A"/>
    <w:p w14:paraId="199C4E8A" w14:textId="77FF65DA" w:rsidR="00DD5726" w:rsidRDefault="00DD5726" w:rsidP="00DD5726">
      <w:r w:rsidRPr="00E00DDE">
        <w:t>2.</w:t>
      </w:r>
      <w:r w:rsidR="00D053F9">
        <w:t>11</w:t>
      </w:r>
      <w:r w:rsidRPr="00E00DDE">
        <w:t> Every independent prescriber must demonstrate that s/he understands</w:t>
      </w:r>
      <w:r w:rsidRPr="00E00DDE">
        <w:rPr>
          <w:b/>
          <w:bCs/>
        </w:rPr>
        <w:t xml:space="preserve"> the clinically relevant spectrum of activity for commonly prescribed </w:t>
      </w:r>
      <w:proofErr w:type="gramStart"/>
      <w:r w:rsidRPr="00E00DDE">
        <w:rPr>
          <w:b/>
          <w:bCs/>
        </w:rPr>
        <w:t>antimicrobials</w:t>
      </w:r>
      <w:r w:rsidRPr="00E00DDE">
        <w:t>, and</w:t>
      </w:r>
      <w:proofErr w:type="gramEnd"/>
      <w:r w:rsidRPr="00E00DDE">
        <w:t xml:space="preserve"> uses this knowledge when prescribing.</w:t>
      </w:r>
    </w:p>
    <w:p w14:paraId="45CE0C11" w14:textId="0CB1CEAE" w:rsidR="00DD5726" w:rsidRDefault="00DD5726" w:rsidP="00DD5726"/>
    <w:p w14:paraId="1C52AF45" w14:textId="77777777" w:rsidR="00DD5726" w:rsidRPr="00E00DDE" w:rsidRDefault="00DD5726" w:rsidP="00DD5726"/>
    <w:p w14:paraId="52ACE704" w14:textId="2E1585AD" w:rsidR="00DD5726" w:rsidRDefault="00DD5726" w:rsidP="00DD5726">
      <w:r w:rsidRPr="00E00DDE">
        <w:t>2.</w:t>
      </w:r>
      <w:r w:rsidR="00D053F9">
        <w:t>12</w:t>
      </w:r>
      <w:r w:rsidRPr="00E00DDE">
        <w:t xml:space="preserve"> Every independent prescriber must demonstrate that s/he understands </w:t>
      </w:r>
      <w:r w:rsidRPr="00E00DDE">
        <w:rPr>
          <w:b/>
        </w:rPr>
        <w:t xml:space="preserve">the basic principles of pharmacokinetics and </w:t>
      </w:r>
      <w:proofErr w:type="gramStart"/>
      <w:r w:rsidRPr="00E00DDE">
        <w:rPr>
          <w:b/>
        </w:rPr>
        <w:t>pharmacodynamics</w:t>
      </w:r>
      <w:r w:rsidRPr="00E00DDE">
        <w:t>, and</w:t>
      </w:r>
      <w:proofErr w:type="gramEnd"/>
      <w:r w:rsidRPr="00E00DDE">
        <w:t xml:space="preserve"> uses this knowledge when prescribing.</w:t>
      </w:r>
    </w:p>
    <w:p w14:paraId="3BE617F2" w14:textId="77777777" w:rsidR="00DD5726" w:rsidRPr="00E00DDE" w:rsidRDefault="00DD5726" w:rsidP="00DD5726"/>
    <w:p w14:paraId="74FE1B8D" w14:textId="77777777" w:rsidR="00155802" w:rsidRPr="00E00DDE" w:rsidRDefault="00155802" w:rsidP="0006686A"/>
    <w:p w14:paraId="4AFC67EB" w14:textId="02E63896" w:rsidR="0006686A" w:rsidRPr="00E00DDE" w:rsidRDefault="0006686A" w:rsidP="0006686A">
      <w:r w:rsidRPr="00E00DDE">
        <w:lastRenderedPageBreak/>
        <w:t>2.1</w:t>
      </w:r>
      <w:r w:rsidR="00D053F9">
        <w:t>3</w:t>
      </w:r>
      <w:r w:rsidRPr="00E00DDE">
        <w:t xml:space="preserve"> Every independent prescriber must demonstrate that s/he understands</w:t>
      </w:r>
      <w:r w:rsidRPr="00E00DDE">
        <w:rPr>
          <w:b/>
          <w:bCs/>
        </w:rPr>
        <w:t xml:space="preserve"> common antimicrobial and drug/food </w:t>
      </w:r>
      <w:proofErr w:type="gramStart"/>
      <w:r w:rsidRPr="00E00DDE">
        <w:rPr>
          <w:b/>
          <w:bCs/>
        </w:rPr>
        <w:t>interactions</w:t>
      </w:r>
      <w:r w:rsidRPr="00E00DDE">
        <w:t>,</w:t>
      </w:r>
      <w:r w:rsidR="00155802" w:rsidRPr="00E00DDE">
        <w:t xml:space="preserve"> </w:t>
      </w:r>
      <w:r w:rsidRPr="00E00DDE">
        <w:t>and</w:t>
      </w:r>
      <w:proofErr w:type="gramEnd"/>
      <w:r w:rsidRPr="00E00DDE">
        <w:t xml:space="preserve"> uses this knowledge when prescribing.</w:t>
      </w:r>
    </w:p>
    <w:p w14:paraId="76B078B3" w14:textId="77777777" w:rsidR="001550FA" w:rsidRPr="00E00DDE" w:rsidRDefault="001550FA" w:rsidP="0006686A"/>
    <w:p w14:paraId="502B8E1E" w14:textId="77777777" w:rsidR="0006686A" w:rsidRPr="00E00DDE" w:rsidRDefault="0006686A" w:rsidP="0006686A"/>
    <w:p w14:paraId="17E87F4C" w14:textId="32F2AD1A" w:rsidR="00155802" w:rsidRPr="00E00DDE" w:rsidRDefault="0006686A" w:rsidP="00DA5A4A">
      <w:r w:rsidRPr="00E00DDE">
        <w:t>2.1</w:t>
      </w:r>
      <w:r w:rsidR="00D053F9">
        <w:t>4</w:t>
      </w:r>
      <w:r w:rsidRPr="00E00DDE">
        <w:t xml:space="preserve"> </w:t>
      </w:r>
      <w:r w:rsidR="00DA5A4A" w:rsidRPr="00E00DDE">
        <w:t>Every independent prescriber must demonstrate that s/he understands </w:t>
      </w:r>
      <w:r w:rsidR="00DA5A4A" w:rsidRPr="00E00DDE">
        <w:rPr>
          <w:b/>
          <w:bCs/>
        </w:rPr>
        <w:t>common side-effects of antimicrobials, including allergy</w:t>
      </w:r>
      <w:r w:rsidR="00DA5A4A" w:rsidRPr="00E00DDE">
        <w:t>, and uses this knowledge when prescribing.</w:t>
      </w:r>
    </w:p>
    <w:p w14:paraId="074921E7" w14:textId="77777777" w:rsidR="00155802" w:rsidRPr="00E00DDE" w:rsidRDefault="00155802" w:rsidP="0006686A"/>
    <w:p w14:paraId="10B3CD25" w14:textId="77777777" w:rsidR="0006686A" w:rsidRPr="00E00DDE" w:rsidRDefault="0006686A" w:rsidP="0006686A"/>
    <w:p w14:paraId="5CD1B91D" w14:textId="2696BF0D" w:rsidR="00736D92" w:rsidRPr="00E00DDE" w:rsidRDefault="0006686A" w:rsidP="00736D92">
      <w:pPr>
        <w:rPr>
          <w:b/>
          <w:bCs/>
        </w:rPr>
      </w:pPr>
      <w:r w:rsidRPr="00E00DDE">
        <w:t>2.1</w:t>
      </w:r>
      <w:r w:rsidR="00D053F9">
        <w:t>5</w:t>
      </w:r>
      <w:r w:rsidRPr="00E00DDE">
        <w:t xml:space="preserve"> Every independent prescriber must demonstrate that s/he understands </w:t>
      </w:r>
      <w:r w:rsidRPr="00E00DDE">
        <w:rPr>
          <w:b/>
          <w:bCs/>
        </w:rPr>
        <w:t xml:space="preserve">how to monitor for common </w:t>
      </w:r>
      <w:proofErr w:type="gramStart"/>
      <w:r w:rsidRPr="00E00DDE">
        <w:rPr>
          <w:b/>
          <w:bCs/>
        </w:rPr>
        <w:t>side-effects</w:t>
      </w:r>
      <w:r w:rsidRPr="00E00DDE">
        <w:t>, and</w:t>
      </w:r>
      <w:proofErr w:type="gramEnd"/>
      <w:r w:rsidRPr="00E00DDE">
        <w:t xml:space="preserve"> uses this knowledge when prescribing.</w:t>
      </w:r>
    </w:p>
    <w:p w14:paraId="203AEC05" w14:textId="22F2531B" w:rsidR="00155802" w:rsidRPr="00E00DDE" w:rsidRDefault="00155802" w:rsidP="0006686A">
      <w:pPr>
        <w:rPr>
          <w:b/>
          <w:bCs/>
        </w:rPr>
      </w:pPr>
    </w:p>
    <w:p w14:paraId="456AFA11" w14:textId="77777777" w:rsidR="00736D92" w:rsidRPr="00E00DDE" w:rsidRDefault="00736D92" w:rsidP="0006686A"/>
    <w:p w14:paraId="026DE4D3" w14:textId="37E1F33D" w:rsidR="003E64D3" w:rsidRPr="00E00DDE" w:rsidRDefault="0006686A" w:rsidP="0006686A">
      <w:r w:rsidRPr="00E00DDE">
        <w:t>2.1</w:t>
      </w:r>
      <w:r w:rsidR="00D053F9">
        <w:t>6</w:t>
      </w:r>
      <w:r w:rsidRPr="00E00DDE">
        <w:t xml:space="preserve"> </w:t>
      </w:r>
      <w:r w:rsidR="003E64D3" w:rsidRPr="00E00DDE">
        <w:t>Every independent prescriber must demonstrate that s/he understands </w:t>
      </w:r>
      <w:r w:rsidR="003E64D3" w:rsidRPr="00E00DDE">
        <w:rPr>
          <w:b/>
          <w:bCs/>
        </w:rPr>
        <w:t>what to do when common side-effects of antimicrobial therapy are suspected (e.g. documenting allergic reactions in patient records, reporting side-effects)</w:t>
      </w:r>
      <w:r w:rsidR="003E64D3" w:rsidRPr="00E00DDE">
        <w:t>.</w:t>
      </w:r>
    </w:p>
    <w:p w14:paraId="53FB3BBA" w14:textId="56A1ADE5" w:rsidR="000D4488" w:rsidRPr="00E00DDE" w:rsidRDefault="000D4488" w:rsidP="0006686A"/>
    <w:p w14:paraId="14A6AFA8" w14:textId="77777777" w:rsidR="000302C9" w:rsidRPr="00E00DDE" w:rsidRDefault="000302C9" w:rsidP="0006686A"/>
    <w:p w14:paraId="2AA100B0" w14:textId="325F1EA3" w:rsidR="00F934BD" w:rsidRPr="00E00DDE" w:rsidRDefault="0006686A" w:rsidP="0006686A">
      <w:r w:rsidRPr="00E00DDE">
        <w:t>2.1</w:t>
      </w:r>
      <w:r w:rsidR="00D053F9">
        <w:t>7</w:t>
      </w:r>
      <w:r w:rsidRPr="00E00DDE">
        <w:t xml:space="preserve"> </w:t>
      </w:r>
      <w:r w:rsidR="00F934BD" w:rsidRPr="00E00DDE">
        <w:t>Every independent prescriber must demonstrate that s/he understands </w:t>
      </w:r>
      <w:r w:rsidR="00F934BD" w:rsidRPr="00E00DDE">
        <w:rPr>
          <w:b/>
          <w:bCs/>
        </w:rPr>
        <w:t xml:space="preserve">how to select the appropriate antimicrobial, using </w:t>
      </w:r>
      <w:r w:rsidR="00C27207" w:rsidRPr="00E00DDE">
        <w:rPr>
          <w:b/>
          <w:bCs/>
        </w:rPr>
        <w:t xml:space="preserve">relevant </w:t>
      </w:r>
      <w:r w:rsidR="00F934BD" w:rsidRPr="00E00DDE">
        <w:rPr>
          <w:b/>
          <w:bCs/>
        </w:rPr>
        <w:t>guidance when possible</w:t>
      </w:r>
      <w:r w:rsidR="00F934BD" w:rsidRPr="00E00DDE">
        <w:t>, and uses this knowledge when prescribing.</w:t>
      </w:r>
    </w:p>
    <w:p w14:paraId="7F016EF8" w14:textId="77777777" w:rsidR="0006686A" w:rsidRPr="00E00DDE" w:rsidRDefault="0006686A" w:rsidP="0006686A"/>
    <w:p w14:paraId="464280C5" w14:textId="77777777" w:rsidR="00847C37" w:rsidRPr="00E00DDE" w:rsidRDefault="00847C37" w:rsidP="0006686A"/>
    <w:p w14:paraId="45086266" w14:textId="5AA6DEC6" w:rsidR="008F5507" w:rsidRPr="00E00DDE" w:rsidRDefault="0006686A" w:rsidP="0006686A">
      <w:r w:rsidRPr="00E00DDE">
        <w:t>2.</w:t>
      </w:r>
      <w:r w:rsidR="00D053F9">
        <w:t>18</w:t>
      </w:r>
      <w:r w:rsidRPr="00E00DDE">
        <w:t xml:space="preserve"> </w:t>
      </w:r>
      <w:r w:rsidR="008F5507" w:rsidRPr="00E00DDE">
        <w:t>Every independent prescriber must demonstrate that s/he understands </w:t>
      </w:r>
      <w:r w:rsidR="008F5507" w:rsidRPr="00E00DDE">
        <w:rPr>
          <w:b/>
          <w:bCs/>
        </w:rPr>
        <w:t xml:space="preserve">how and where to access </w:t>
      </w:r>
      <w:r w:rsidR="00C27207" w:rsidRPr="00E00DDE">
        <w:rPr>
          <w:b/>
          <w:bCs/>
        </w:rPr>
        <w:t xml:space="preserve">relevant </w:t>
      </w:r>
      <w:r w:rsidR="008F5507" w:rsidRPr="00E00DDE">
        <w:rPr>
          <w:b/>
          <w:bCs/>
        </w:rPr>
        <w:t xml:space="preserve">guidance on antimicrobial prescribing and </w:t>
      </w:r>
      <w:proofErr w:type="gramStart"/>
      <w:r w:rsidR="008F5507" w:rsidRPr="00E00DDE">
        <w:rPr>
          <w:b/>
          <w:bCs/>
        </w:rPr>
        <w:t>stewardship</w:t>
      </w:r>
      <w:r w:rsidR="008F5507" w:rsidRPr="00E00DDE">
        <w:t>, and</w:t>
      </w:r>
      <w:proofErr w:type="gramEnd"/>
      <w:r w:rsidR="008F5507" w:rsidRPr="00E00DDE">
        <w:t xml:space="preserve"> uses this knowledge when prescribing.</w:t>
      </w:r>
    </w:p>
    <w:p w14:paraId="46A8CE7C" w14:textId="77777777" w:rsidR="00F934BD" w:rsidRPr="00E00DDE" w:rsidRDefault="00F934BD" w:rsidP="0006686A"/>
    <w:p w14:paraId="4570061D" w14:textId="77777777" w:rsidR="0006686A" w:rsidRPr="00E00DDE" w:rsidRDefault="0006686A" w:rsidP="0006686A"/>
    <w:p w14:paraId="3A131DA9" w14:textId="6FCA4A0A" w:rsidR="00F934BD" w:rsidRPr="00E00DDE" w:rsidRDefault="0006686A" w:rsidP="0006686A">
      <w:r w:rsidRPr="00E00DDE">
        <w:t>2.</w:t>
      </w:r>
      <w:r w:rsidR="00D053F9">
        <w:t>19</w:t>
      </w:r>
      <w:r w:rsidRPr="00E00DDE">
        <w:t xml:space="preserve"> </w:t>
      </w:r>
      <w:r w:rsidR="00F934BD" w:rsidRPr="00E00DDE">
        <w:t>Every independent prescriber must demonstrate that s/he understands</w:t>
      </w:r>
      <w:r w:rsidR="00F934BD" w:rsidRPr="00E00DDE">
        <w:rPr>
          <w:b/>
          <w:bCs/>
        </w:rPr>
        <w:t xml:space="preserve"> that empirical treatment should be </w:t>
      </w:r>
      <w:r w:rsidR="000302C9" w:rsidRPr="00E00DDE">
        <w:rPr>
          <w:b/>
          <w:bCs/>
        </w:rPr>
        <w:t xml:space="preserve">guided </w:t>
      </w:r>
      <w:r w:rsidR="00F934BD" w:rsidRPr="00E00DDE">
        <w:rPr>
          <w:b/>
          <w:bCs/>
        </w:rPr>
        <w:t>by local antimicrobial susceptibility patterns</w:t>
      </w:r>
      <w:r w:rsidR="00F934BD" w:rsidRPr="00E00DDE">
        <w:t>.</w:t>
      </w:r>
    </w:p>
    <w:p w14:paraId="6388F566" w14:textId="72BD7BBC" w:rsidR="0040468F" w:rsidRPr="00E00DDE" w:rsidRDefault="0040468F" w:rsidP="0006686A"/>
    <w:p w14:paraId="33BF6D1E" w14:textId="51C9EAD8" w:rsidR="0040468F" w:rsidRPr="00E00DDE" w:rsidRDefault="0040468F" w:rsidP="0006686A"/>
    <w:p w14:paraId="4A433D3B" w14:textId="416D3724" w:rsidR="0040468F" w:rsidRPr="00E00DDE" w:rsidRDefault="0040468F" w:rsidP="0006686A">
      <w:r w:rsidRPr="00E00DDE">
        <w:t>2.</w:t>
      </w:r>
      <w:r w:rsidR="00D053F9">
        <w:t>20</w:t>
      </w:r>
      <w:r w:rsidRPr="00E00DDE">
        <w:t xml:space="preserve"> Every independent prescriber must demonstrate that s/he understands</w:t>
      </w:r>
      <w:r w:rsidRPr="00E00DDE">
        <w:rPr>
          <w:b/>
          <w:bCs/>
        </w:rPr>
        <w:t xml:space="preserve"> any legal requirements for prescribing antimicrobials in their </w:t>
      </w:r>
      <w:proofErr w:type="gramStart"/>
      <w:r w:rsidRPr="00E00DDE">
        <w:rPr>
          <w:b/>
          <w:bCs/>
        </w:rPr>
        <w:t>country, and</w:t>
      </w:r>
      <w:proofErr w:type="gramEnd"/>
      <w:r w:rsidRPr="00E00DDE">
        <w:rPr>
          <w:b/>
          <w:bCs/>
        </w:rPr>
        <w:t xml:space="preserve"> complies with these when prescribing.</w:t>
      </w:r>
    </w:p>
    <w:p w14:paraId="62A9CA07" w14:textId="77777777" w:rsidR="00A5213B" w:rsidRDefault="00A5213B" w:rsidP="0006686A">
      <w:pPr>
        <w:rPr>
          <w:b/>
        </w:rPr>
      </w:pPr>
    </w:p>
    <w:p w14:paraId="073943B7" w14:textId="77777777" w:rsidR="00A5213B" w:rsidRDefault="00A5213B" w:rsidP="0006686A">
      <w:pPr>
        <w:rPr>
          <w:b/>
        </w:rPr>
      </w:pPr>
    </w:p>
    <w:p w14:paraId="5EEAAE3B" w14:textId="77777777" w:rsidR="00A5213B" w:rsidRDefault="00A5213B" w:rsidP="0006686A">
      <w:pPr>
        <w:rPr>
          <w:b/>
        </w:rPr>
      </w:pPr>
    </w:p>
    <w:p w14:paraId="325F8695" w14:textId="3AE7851E" w:rsidR="0006686A" w:rsidRPr="00E00DDE" w:rsidRDefault="0006686A" w:rsidP="0006686A">
      <w:pPr>
        <w:rPr>
          <w:b/>
        </w:rPr>
      </w:pPr>
      <w:r w:rsidRPr="00E00DDE">
        <w:rPr>
          <w:b/>
        </w:rPr>
        <w:t>Section 3: Antimicrobial stewardship</w:t>
      </w:r>
    </w:p>
    <w:p w14:paraId="15BAC498" w14:textId="77777777" w:rsidR="0006686A" w:rsidRPr="00E00DDE" w:rsidRDefault="0006686A" w:rsidP="0006686A"/>
    <w:p w14:paraId="3914B31E" w14:textId="7AED09D0" w:rsidR="0006686A" w:rsidRPr="00E00DDE" w:rsidRDefault="0006686A" w:rsidP="0006686A">
      <w:r w:rsidRPr="00E00DDE">
        <w:t>3.1 Every independent prescriber must demonstrate that s/he understands </w:t>
      </w:r>
      <w:r w:rsidRPr="00E00DDE">
        <w:rPr>
          <w:b/>
          <w:bCs/>
        </w:rPr>
        <w:t>local stewardship policies based on national (or international where these do not exist) evidence-based guidelines</w:t>
      </w:r>
      <w:r w:rsidRPr="00E00DDE">
        <w:t>.</w:t>
      </w:r>
    </w:p>
    <w:p w14:paraId="6A284CB4" w14:textId="627F7EFD" w:rsidR="0006686A" w:rsidRPr="00E00DDE" w:rsidRDefault="0006686A" w:rsidP="0006686A"/>
    <w:p w14:paraId="50379284" w14:textId="77777777" w:rsidR="004F1FB7" w:rsidRPr="00E00DDE" w:rsidRDefault="004F1FB7" w:rsidP="0006686A"/>
    <w:p w14:paraId="0397FDD8" w14:textId="0075C2B2" w:rsidR="00824D06" w:rsidRPr="00E00DDE" w:rsidRDefault="0006686A" w:rsidP="0006686A">
      <w:r w:rsidRPr="00E00DDE">
        <w:t xml:space="preserve">3.2 </w:t>
      </w:r>
      <w:r w:rsidR="00824D06" w:rsidRPr="00E00DDE">
        <w:t>Every independent prescriber must demonstrate that s/he understands</w:t>
      </w:r>
      <w:r w:rsidR="00824D06" w:rsidRPr="00E00DDE">
        <w:rPr>
          <w:b/>
          <w:bCs/>
        </w:rPr>
        <w:t xml:space="preserve"> and engages with any locally or nationally agreed </w:t>
      </w:r>
      <w:r w:rsidR="001923ED" w:rsidRPr="00E00DDE">
        <w:rPr>
          <w:b/>
          <w:bCs/>
        </w:rPr>
        <w:t xml:space="preserve">quality measures </w:t>
      </w:r>
      <w:r w:rsidR="00824D06" w:rsidRPr="00E00DDE">
        <w:rPr>
          <w:b/>
          <w:bCs/>
        </w:rPr>
        <w:t xml:space="preserve">for assessing antimicrobial </w:t>
      </w:r>
      <w:r w:rsidR="00824D06" w:rsidRPr="00E00DDE">
        <w:rPr>
          <w:b/>
          <w:bCs/>
        </w:rPr>
        <w:lastRenderedPageBreak/>
        <w:t>prescriptions (e.g. compliance with guidance</w:t>
      </w:r>
      <w:r w:rsidR="002C78F9" w:rsidRPr="00E00DDE">
        <w:rPr>
          <w:b/>
          <w:bCs/>
        </w:rPr>
        <w:t xml:space="preserve">, </w:t>
      </w:r>
      <w:r w:rsidR="00C27207" w:rsidRPr="00E00DDE">
        <w:rPr>
          <w:b/>
          <w:bCs/>
        </w:rPr>
        <w:t>adverse events</w:t>
      </w:r>
      <w:r w:rsidR="001D6B44" w:rsidRPr="00E00DDE">
        <w:rPr>
          <w:b/>
          <w:bCs/>
        </w:rPr>
        <w:t xml:space="preserve">, </w:t>
      </w:r>
      <w:r w:rsidR="001D6B44" w:rsidRPr="00E00DDE">
        <w:rPr>
          <w:b/>
        </w:rPr>
        <w:t>review</w:t>
      </w:r>
      <w:r w:rsidR="00CA2111" w:rsidRPr="00E00DDE">
        <w:rPr>
          <w:b/>
        </w:rPr>
        <w:t>s of</w:t>
      </w:r>
      <w:r w:rsidR="001D6B44" w:rsidRPr="00E00DDE">
        <w:rPr>
          <w:b/>
        </w:rPr>
        <w:t xml:space="preserve"> antibiotic therapy at 48 to </w:t>
      </w:r>
      <w:proofErr w:type="spellStart"/>
      <w:r w:rsidR="001D6B44" w:rsidRPr="00E00DDE">
        <w:rPr>
          <w:b/>
        </w:rPr>
        <w:t>72h</w:t>
      </w:r>
      <w:proofErr w:type="spellEnd"/>
      <w:r w:rsidR="001D6B44" w:rsidRPr="00E00DDE">
        <w:rPr>
          <w:b/>
        </w:rPr>
        <w:t xml:space="preserve"> in hospitalised patients</w:t>
      </w:r>
      <w:r w:rsidR="00824D06" w:rsidRPr="00E00DDE">
        <w:rPr>
          <w:b/>
          <w:bCs/>
        </w:rPr>
        <w:t>)</w:t>
      </w:r>
      <w:r w:rsidR="00824D06" w:rsidRPr="00E00DDE">
        <w:t>.</w:t>
      </w:r>
    </w:p>
    <w:p w14:paraId="79D4FCDC" w14:textId="77777777" w:rsidR="00824D06" w:rsidRPr="00E00DDE" w:rsidRDefault="00824D06" w:rsidP="0006686A"/>
    <w:p w14:paraId="335C310B" w14:textId="77777777" w:rsidR="0006686A" w:rsidRPr="00E00DDE" w:rsidRDefault="0006686A" w:rsidP="0006686A">
      <w:pPr>
        <w:rPr>
          <w:lang w:val="en-US"/>
        </w:rPr>
      </w:pPr>
    </w:p>
    <w:p w14:paraId="38AE612C" w14:textId="2CED1A3D" w:rsidR="00824D06" w:rsidRPr="00E00DDE" w:rsidRDefault="00BE61AC" w:rsidP="00824D06">
      <w:r w:rsidRPr="00E00DDE">
        <w:t>3.</w:t>
      </w:r>
      <w:r w:rsidR="00D053F9">
        <w:t>3</w:t>
      </w:r>
      <w:r w:rsidRPr="00E00DDE">
        <w:t xml:space="preserve"> </w:t>
      </w:r>
      <w:r w:rsidR="00824D06" w:rsidRPr="00E00DDE">
        <w:t>Every independent prescriber must demonstrate that s/he </w:t>
      </w:r>
      <w:r w:rsidR="00824D06" w:rsidRPr="00E00DDE">
        <w:rPr>
          <w:b/>
          <w:bCs/>
        </w:rPr>
        <w:t>knows how to communicate with patients and their carers, nurses</w:t>
      </w:r>
      <w:r w:rsidR="00D93430" w:rsidRPr="00E00DDE">
        <w:rPr>
          <w:b/>
          <w:bCs/>
        </w:rPr>
        <w:t>, pharmacists</w:t>
      </w:r>
      <w:r w:rsidR="00824D06" w:rsidRPr="00E00DDE">
        <w:rPr>
          <w:b/>
          <w:bCs/>
        </w:rPr>
        <w:t xml:space="preserve"> and other </w:t>
      </w:r>
      <w:r w:rsidR="00D93430" w:rsidRPr="00E00DDE">
        <w:rPr>
          <w:b/>
          <w:bCs/>
        </w:rPr>
        <w:t xml:space="preserve">healthcare professionals </w:t>
      </w:r>
      <w:r w:rsidR="00824D06" w:rsidRPr="00E00DDE">
        <w:rPr>
          <w:b/>
          <w:bCs/>
        </w:rPr>
        <w:t>about (indicated below):</w:t>
      </w:r>
    </w:p>
    <w:p w14:paraId="123596E3" w14:textId="0E47709A" w:rsidR="00824D06" w:rsidRPr="00E00DDE" w:rsidRDefault="00824D06" w:rsidP="00824D06">
      <w:pPr>
        <w:numPr>
          <w:ilvl w:val="0"/>
          <w:numId w:val="2"/>
        </w:numPr>
      </w:pPr>
      <w:r w:rsidRPr="00E00DDE">
        <w:t>when antibiotics are not needed</w:t>
      </w:r>
    </w:p>
    <w:p w14:paraId="634712F0" w14:textId="2CEA4228" w:rsidR="00824D06" w:rsidRPr="00E00DDE" w:rsidRDefault="00824D06" w:rsidP="00824D06">
      <w:pPr>
        <w:numPr>
          <w:ilvl w:val="0"/>
          <w:numId w:val="2"/>
        </w:numPr>
      </w:pPr>
      <w:r w:rsidRPr="00E00DDE">
        <w:t>complying with the duration and frequency of administration of their prescribed antimicrobials</w:t>
      </w:r>
    </w:p>
    <w:p w14:paraId="7A355E6F" w14:textId="0E1716C8" w:rsidR="00824D06" w:rsidRDefault="00824D06" w:rsidP="0006686A"/>
    <w:p w14:paraId="26D1A93C" w14:textId="77777777" w:rsidR="00A5213B" w:rsidRPr="00E00DDE" w:rsidRDefault="00A5213B" w:rsidP="0006686A"/>
    <w:p w14:paraId="3B671324" w14:textId="61626824" w:rsidR="00B71FE0" w:rsidRDefault="0006686A" w:rsidP="006437FD">
      <w:r w:rsidRPr="00E00DDE">
        <w:t>3.</w:t>
      </w:r>
      <w:r w:rsidR="00D053F9">
        <w:t>4</w:t>
      </w:r>
      <w:r w:rsidRPr="00E00DDE">
        <w:t xml:space="preserve"> </w:t>
      </w:r>
      <w:r w:rsidR="0031562C" w:rsidRPr="00E00DDE">
        <w:t xml:space="preserve">Every independent prescriber must </w:t>
      </w:r>
      <w:r w:rsidR="0031562C" w:rsidRPr="00E00DDE">
        <w:rPr>
          <w:b/>
        </w:rPr>
        <w:t>recognise that it is a duty of care to co-operate with others more expert than oneself</w:t>
      </w:r>
      <w:r w:rsidR="007A5432" w:rsidRPr="00E00DDE">
        <w:rPr>
          <w:b/>
        </w:rPr>
        <w:t>, such as the antimicrobial stewardship team,</w:t>
      </w:r>
      <w:r w:rsidR="0031562C" w:rsidRPr="00E00DDE">
        <w:rPr>
          <w:b/>
        </w:rPr>
        <w:t xml:space="preserve"> when such expertise is needed</w:t>
      </w:r>
      <w:r w:rsidR="0031562C" w:rsidRPr="00E00DDE">
        <w:t>.</w:t>
      </w:r>
    </w:p>
    <w:p w14:paraId="17420ECA" w14:textId="77777777" w:rsidR="00B71FE0" w:rsidRDefault="00B71FE0">
      <w:r>
        <w:br w:type="page"/>
      </w:r>
    </w:p>
    <w:p w14:paraId="5C3E0976" w14:textId="2F88479A" w:rsidR="00B71FE0" w:rsidRPr="0025604C" w:rsidRDefault="00E12E2E" w:rsidP="00B71FE0">
      <w:pPr>
        <w:outlineLvl w:val="0"/>
        <w:rPr>
          <w:sz w:val="28"/>
          <w:szCs w:val="28"/>
        </w:rPr>
      </w:pPr>
      <w:r>
        <w:rPr>
          <w:b/>
          <w:sz w:val="28"/>
          <w:szCs w:val="28"/>
        </w:rPr>
        <w:lastRenderedPageBreak/>
        <w:t xml:space="preserve">List </w:t>
      </w:r>
      <w:proofErr w:type="spellStart"/>
      <w:r w:rsidR="00D06604">
        <w:rPr>
          <w:b/>
          <w:sz w:val="28"/>
          <w:szCs w:val="28"/>
        </w:rPr>
        <w:t>S</w:t>
      </w:r>
      <w:r>
        <w:rPr>
          <w:b/>
          <w:sz w:val="28"/>
          <w:szCs w:val="28"/>
        </w:rPr>
        <w:t>2</w:t>
      </w:r>
      <w:proofErr w:type="spellEnd"/>
      <w:r>
        <w:rPr>
          <w:b/>
          <w:sz w:val="28"/>
          <w:szCs w:val="28"/>
        </w:rPr>
        <w:t xml:space="preserve">. </w:t>
      </w:r>
      <w:r w:rsidR="00EC6299" w:rsidRPr="0025604C">
        <w:rPr>
          <w:sz w:val="28"/>
          <w:szCs w:val="28"/>
        </w:rPr>
        <w:t xml:space="preserve">Competency points </w:t>
      </w:r>
      <w:r w:rsidR="00D6612F" w:rsidRPr="0025604C">
        <w:rPr>
          <w:sz w:val="28"/>
          <w:szCs w:val="28"/>
        </w:rPr>
        <w:t>not selected for inclusion</w:t>
      </w:r>
    </w:p>
    <w:p w14:paraId="67D0CC37" w14:textId="503735C4" w:rsidR="004A58D6" w:rsidRDefault="004A58D6" w:rsidP="00B71FE0">
      <w:pPr>
        <w:outlineLvl w:val="0"/>
        <w:rPr>
          <w:b/>
          <w:sz w:val="28"/>
          <w:szCs w:val="28"/>
        </w:rPr>
      </w:pPr>
    </w:p>
    <w:p w14:paraId="71168D99" w14:textId="7DEA5C06" w:rsidR="004A58D6" w:rsidRDefault="004A58D6" w:rsidP="00B71FE0">
      <w:pPr>
        <w:outlineLvl w:val="0"/>
        <w:rPr>
          <w:b/>
          <w:sz w:val="28"/>
          <w:szCs w:val="28"/>
        </w:rPr>
      </w:pPr>
      <w:r w:rsidRPr="004A58D6">
        <w:rPr>
          <w:b/>
          <w:sz w:val="28"/>
          <w:szCs w:val="28"/>
        </w:rPr>
        <w:t>Section 1: Infection: diagnosis, prevention and control</w:t>
      </w:r>
    </w:p>
    <w:p w14:paraId="71FA2568" w14:textId="74D79156" w:rsidR="00A902CB" w:rsidRDefault="00A902CB" w:rsidP="00B71FE0">
      <w:pPr>
        <w:outlineLvl w:val="0"/>
      </w:pPr>
      <w:r>
        <w:t xml:space="preserve">1. </w:t>
      </w:r>
      <w:r w:rsidRPr="00A902CB">
        <w:t xml:space="preserve">Every independent prescriber must demonstrate that s/he understands </w:t>
      </w:r>
      <w:r w:rsidRPr="00A902CB">
        <w:rPr>
          <w:b/>
        </w:rPr>
        <w:t xml:space="preserve">the mechanisms of antimicrobial </w:t>
      </w:r>
      <w:proofErr w:type="gramStart"/>
      <w:r w:rsidRPr="00A902CB">
        <w:rPr>
          <w:b/>
        </w:rPr>
        <w:t>resistance,</w:t>
      </w:r>
      <w:r w:rsidRPr="00A902CB">
        <w:t xml:space="preserve"> and</w:t>
      </w:r>
      <w:proofErr w:type="gramEnd"/>
      <w:r w:rsidRPr="00A902CB">
        <w:t xml:space="preserve"> uses t</w:t>
      </w:r>
      <w:r>
        <w:t>his knowledge when prescribing.</w:t>
      </w:r>
    </w:p>
    <w:p w14:paraId="0CEF8B0E" w14:textId="7E2DE00A" w:rsidR="00A902CB" w:rsidRDefault="00A902CB" w:rsidP="00B71FE0">
      <w:pPr>
        <w:outlineLvl w:val="0"/>
      </w:pPr>
      <w:r>
        <w:rPr>
          <w:i/>
        </w:rPr>
        <w:t>Median score = 6</w:t>
      </w:r>
      <w:bookmarkStart w:id="0" w:name="_GoBack"/>
      <w:bookmarkEnd w:id="0"/>
    </w:p>
    <w:p w14:paraId="40F8DF89" w14:textId="26A46702" w:rsidR="00A902CB" w:rsidRDefault="00A902CB" w:rsidP="00B71FE0">
      <w:pPr>
        <w:outlineLvl w:val="0"/>
      </w:pPr>
    </w:p>
    <w:p w14:paraId="0C108235" w14:textId="6EE31164" w:rsidR="00A902CB" w:rsidRDefault="00A902CB" w:rsidP="00B71FE0">
      <w:pPr>
        <w:outlineLvl w:val="0"/>
      </w:pPr>
      <w:r>
        <w:t xml:space="preserve">2. </w:t>
      </w:r>
      <w:r w:rsidRPr="00A902CB">
        <w:t xml:space="preserve">Every independent prescriber must demonstrate that s/he understands </w:t>
      </w:r>
      <w:r w:rsidR="00126F1E">
        <w:rPr>
          <w:b/>
        </w:rPr>
        <w:t xml:space="preserve">whether </w:t>
      </w:r>
      <w:r w:rsidRPr="00A902CB">
        <w:rPr>
          <w:b/>
        </w:rPr>
        <w:t xml:space="preserve">mechanisms of antimicrobial resistance are intrinsic or </w:t>
      </w:r>
      <w:proofErr w:type="gramStart"/>
      <w:r w:rsidRPr="00A902CB">
        <w:rPr>
          <w:b/>
        </w:rPr>
        <w:t>acquired,</w:t>
      </w:r>
      <w:r w:rsidRPr="00A902CB">
        <w:t xml:space="preserve"> and</w:t>
      </w:r>
      <w:proofErr w:type="gramEnd"/>
      <w:r w:rsidRPr="00A902CB">
        <w:t xml:space="preserve"> uses this knowledge when prescribing.</w:t>
      </w:r>
    </w:p>
    <w:p w14:paraId="28DBC5F1" w14:textId="1B861BE5" w:rsidR="00A902CB" w:rsidRDefault="00A902CB" w:rsidP="00B71FE0">
      <w:pPr>
        <w:outlineLvl w:val="0"/>
      </w:pPr>
      <w:r>
        <w:rPr>
          <w:i/>
        </w:rPr>
        <w:t>Median score = 6</w:t>
      </w:r>
    </w:p>
    <w:p w14:paraId="02E8DB8A" w14:textId="3A3AEB37" w:rsidR="00474B8D" w:rsidRDefault="00474B8D" w:rsidP="00B71FE0">
      <w:pPr>
        <w:outlineLvl w:val="0"/>
      </w:pPr>
    </w:p>
    <w:p w14:paraId="015E6BA9" w14:textId="77720076" w:rsidR="00474B8D" w:rsidRPr="00474B8D" w:rsidRDefault="00474B8D" w:rsidP="00B71FE0">
      <w:pPr>
        <w:outlineLvl w:val="0"/>
        <w:rPr>
          <w:b/>
        </w:rPr>
      </w:pPr>
      <w:r>
        <w:t xml:space="preserve">3. </w:t>
      </w:r>
      <w:r w:rsidRPr="00474B8D">
        <w:t xml:space="preserve">Every independent prescriber must demonstrate that s/he understands </w:t>
      </w:r>
      <w:r w:rsidRPr="00474B8D">
        <w:rPr>
          <w:b/>
        </w:rPr>
        <w:t>the potential for vaccines undergoing assessment to reduce the need for prescribing antimicrobials for hospital pathogens e.g. </w:t>
      </w:r>
      <w:r w:rsidRPr="00474B8D">
        <w:rPr>
          <w:b/>
          <w:i/>
        </w:rPr>
        <w:t>Clostridium difficile, Staphylococcus aureus</w:t>
      </w:r>
      <w:r w:rsidRPr="00474B8D">
        <w:rPr>
          <w:b/>
        </w:rPr>
        <w:t>.</w:t>
      </w:r>
    </w:p>
    <w:p w14:paraId="75EA94B2" w14:textId="78E691ED" w:rsidR="00474B8D" w:rsidRPr="00B672EF" w:rsidRDefault="00474B8D" w:rsidP="00B71FE0">
      <w:pPr>
        <w:outlineLvl w:val="0"/>
        <w:rPr>
          <w:i/>
        </w:rPr>
      </w:pPr>
      <w:r w:rsidRPr="00474B8D">
        <w:rPr>
          <w:i/>
        </w:rPr>
        <w:t>Median score = 5</w:t>
      </w:r>
    </w:p>
    <w:p w14:paraId="0CB444D9" w14:textId="77777777" w:rsidR="00474B8D" w:rsidRDefault="00474B8D" w:rsidP="00B71FE0">
      <w:pPr>
        <w:outlineLvl w:val="0"/>
      </w:pPr>
    </w:p>
    <w:p w14:paraId="10A5E005" w14:textId="793EBE31" w:rsidR="00A902CB" w:rsidRDefault="00126F1E" w:rsidP="00B71FE0">
      <w:pPr>
        <w:outlineLvl w:val="0"/>
      </w:pPr>
      <w:r>
        <w:t>4</w:t>
      </w:r>
      <w:r w:rsidR="004A58D6">
        <w:t>.</w:t>
      </w:r>
      <w:r w:rsidR="004A58D6" w:rsidRPr="004A58D6">
        <w:t xml:space="preserve"> Every independent prescriber must demonstrate that s/he understands </w:t>
      </w:r>
      <w:r w:rsidR="004A58D6" w:rsidRPr="004A58D6">
        <w:rPr>
          <w:b/>
        </w:rPr>
        <w:t>selection advantages (e.g. the greater ability for some micro-organisms to colonise, change in their ability to cause disease)</w:t>
      </w:r>
      <w:r w:rsidR="004A58D6" w:rsidRPr="004A58D6">
        <w:t>, and uses t</w:t>
      </w:r>
      <w:r w:rsidR="00A902CB">
        <w:t>his knowledge when prescribing.</w:t>
      </w:r>
    </w:p>
    <w:p w14:paraId="77136917" w14:textId="15605123" w:rsidR="00126F1E" w:rsidRPr="00126F1E" w:rsidRDefault="00126F1E" w:rsidP="00B71FE0">
      <w:pPr>
        <w:outlineLvl w:val="0"/>
        <w:rPr>
          <w:i/>
        </w:rPr>
      </w:pPr>
      <w:r>
        <w:rPr>
          <w:i/>
        </w:rPr>
        <w:t>Median score = 7</w:t>
      </w:r>
    </w:p>
    <w:p w14:paraId="174801F8" w14:textId="5238FC80" w:rsidR="004A58D6" w:rsidRDefault="004A58D6" w:rsidP="00B71FE0">
      <w:pPr>
        <w:outlineLvl w:val="0"/>
      </w:pPr>
    </w:p>
    <w:p w14:paraId="44B42E62" w14:textId="58BEF40F" w:rsidR="004A58D6" w:rsidRPr="00126F1E" w:rsidRDefault="00126F1E" w:rsidP="004A58D6">
      <w:pPr>
        <w:outlineLvl w:val="0"/>
        <w:rPr>
          <w:lang w:val="en-US"/>
        </w:rPr>
      </w:pPr>
      <w:r>
        <w:t>5</w:t>
      </w:r>
      <w:r w:rsidR="004A58D6">
        <w:t xml:space="preserve">. </w:t>
      </w:r>
      <w:r w:rsidR="004A58D6" w:rsidRPr="004A58D6">
        <w:rPr>
          <w:lang w:val="en-US"/>
        </w:rPr>
        <w:t>Every independent prescriber must demonstrate that s/he understands</w:t>
      </w:r>
      <w:r>
        <w:rPr>
          <w:lang w:val="en-US"/>
        </w:rPr>
        <w:t xml:space="preserve"> </w:t>
      </w:r>
      <w:r w:rsidR="004A58D6" w:rsidRPr="004A58D6">
        <w:rPr>
          <w:b/>
          <w:bCs/>
        </w:rPr>
        <w:t xml:space="preserve">the modes of action of antibiotics and other </w:t>
      </w:r>
      <w:proofErr w:type="gramStart"/>
      <w:r w:rsidR="004A58D6" w:rsidRPr="004A58D6">
        <w:rPr>
          <w:b/>
          <w:bCs/>
        </w:rPr>
        <w:t>antimicrobials</w:t>
      </w:r>
      <w:r w:rsidR="004A58D6" w:rsidRPr="004A58D6">
        <w:t>, and</w:t>
      </w:r>
      <w:proofErr w:type="gramEnd"/>
      <w:r w:rsidR="004A58D6" w:rsidRPr="004A58D6">
        <w:t xml:space="preserve"> uses </w:t>
      </w:r>
      <w:r w:rsidR="004A58D6">
        <w:t>this knowledge when prescribing.</w:t>
      </w:r>
    </w:p>
    <w:p w14:paraId="4821B16B" w14:textId="7C475238" w:rsidR="00126F1E" w:rsidRPr="00126F1E" w:rsidRDefault="00126F1E" w:rsidP="004A58D6">
      <w:pPr>
        <w:outlineLvl w:val="0"/>
        <w:rPr>
          <w:i/>
        </w:rPr>
      </w:pPr>
      <w:r>
        <w:rPr>
          <w:i/>
        </w:rPr>
        <w:t>Median score = 7</w:t>
      </w:r>
    </w:p>
    <w:p w14:paraId="406E2EBA" w14:textId="6F3B9622" w:rsidR="004A58D6" w:rsidRDefault="004A58D6" w:rsidP="004A58D6">
      <w:pPr>
        <w:outlineLvl w:val="0"/>
      </w:pPr>
    </w:p>
    <w:p w14:paraId="088AEACA" w14:textId="69A65967" w:rsidR="004A58D6" w:rsidRDefault="004C7F77" w:rsidP="004A58D6">
      <w:pPr>
        <w:outlineLvl w:val="0"/>
      </w:pPr>
      <w:r>
        <w:t>6</w:t>
      </w:r>
      <w:r w:rsidR="004A58D6">
        <w:t xml:space="preserve">. </w:t>
      </w:r>
      <w:r w:rsidR="004A58D6" w:rsidRPr="004A58D6">
        <w:rPr>
          <w:lang w:val="en-US"/>
        </w:rPr>
        <w:t>Every independent prescriber must demonstrate that s/he understands</w:t>
      </w:r>
      <w:r w:rsidR="00126F1E">
        <w:rPr>
          <w:lang w:val="en-US"/>
        </w:rPr>
        <w:t xml:space="preserve"> </w:t>
      </w:r>
      <w:r>
        <w:rPr>
          <w:b/>
          <w:bCs/>
        </w:rPr>
        <w:t xml:space="preserve">the use of </w:t>
      </w:r>
      <w:r w:rsidR="004A58D6" w:rsidRPr="004A58D6">
        <w:rPr>
          <w:b/>
          <w:bCs/>
        </w:rPr>
        <w:t>microbiological investigations, other investigations (including biomarkers), and more rapid methods, to diagnose infections for public health purposes</w:t>
      </w:r>
      <w:r w:rsidR="004A58D6" w:rsidRPr="004A58D6">
        <w:t>, and uses this knowled</w:t>
      </w:r>
      <w:r w:rsidR="00126F1E">
        <w:t>ge when prescribing.</w:t>
      </w:r>
    </w:p>
    <w:p w14:paraId="33F89167" w14:textId="4222DFB3" w:rsidR="00126F1E" w:rsidRPr="00126F1E" w:rsidRDefault="00126F1E" w:rsidP="004A58D6">
      <w:pPr>
        <w:outlineLvl w:val="0"/>
        <w:rPr>
          <w:i/>
        </w:rPr>
      </w:pPr>
      <w:r>
        <w:rPr>
          <w:i/>
        </w:rPr>
        <w:t>Median score = 7</w:t>
      </w:r>
    </w:p>
    <w:p w14:paraId="23A87F69" w14:textId="5BFB9C2C" w:rsidR="004A58D6" w:rsidRDefault="004A58D6" w:rsidP="004A58D6">
      <w:pPr>
        <w:outlineLvl w:val="0"/>
        <w:rPr>
          <w:lang w:val="en-US"/>
        </w:rPr>
      </w:pPr>
    </w:p>
    <w:p w14:paraId="69B2F2D0" w14:textId="7DA7FAFC" w:rsidR="004A58D6" w:rsidRPr="00126F1E" w:rsidRDefault="004A58D6" w:rsidP="004A58D6">
      <w:pPr>
        <w:outlineLvl w:val="0"/>
        <w:rPr>
          <w:lang w:val="en-US"/>
        </w:rPr>
      </w:pPr>
      <w:r>
        <w:rPr>
          <w:lang w:val="en-US"/>
        </w:rPr>
        <w:t xml:space="preserve">4. </w:t>
      </w:r>
      <w:r w:rsidRPr="004A58D6">
        <w:rPr>
          <w:lang w:val="en-US"/>
        </w:rPr>
        <w:t>Every independent prescriber must demonstrate that s/he understands</w:t>
      </w:r>
      <w:r w:rsidR="00126F1E">
        <w:rPr>
          <w:lang w:val="en-US"/>
        </w:rPr>
        <w:t xml:space="preserve"> </w:t>
      </w:r>
      <w:r w:rsidR="00126F1E" w:rsidRPr="00126F1E">
        <w:rPr>
          <w:b/>
          <w:lang w:val="en-US"/>
        </w:rPr>
        <w:t>t</w:t>
      </w:r>
      <w:r w:rsidRPr="004A58D6">
        <w:rPr>
          <w:b/>
          <w:bCs/>
        </w:rPr>
        <w:t xml:space="preserve">he principles and practice of the prevention and control of </w:t>
      </w:r>
      <w:proofErr w:type="gramStart"/>
      <w:r w:rsidRPr="004A58D6">
        <w:rPr>
          <w:b/>
          <w:bCs/>
        </w:rPr>
        <w:t>infection</w:t>
      </w:r>
      <w:r w:rsidRPr="004A58D6">
        <w:t>, and</w:t>
      </w:r>
      <w:proofErr w:type="gramEnd"/>
      <w:r w:rsidRPr="004A58D6">
        <w:t xml:space="preserve"> uses this knowledge when prescribing. </w:t>
      </w:r>
    </w:p>
    <w:p w14:paraId="728B3DAE" w14:textId="77777777" w:rsidR="00126F1E" w:rsidRPr="00126F1E" w:rsidRDefault="00126F1E" w:rsidP="00126F1E">
      <w:pPr>
        <w:outlineLvl w:val="0"/>
        <w:rPr>
          <w:i/>
        </w:rPr>
      </w:pPr>
      <w:r>
        <w:rPr>
          <w:i/>
        </w:rPr>
        <w:t>Median score = 7</w:t>
      </w:r>
    </w:p>
    <w:p w14:paraId="673B4CB2" w14:textId="3054821F" w:rsidR="004A58D6" w:rsidRDefault="004A58D6" w:rsidP="004A58D6">
      <w:pPr>
        <w:outlineLvl w:val="0"/>
        <w:rPr>
          <w:lang w:val="en-US"/>
        </w:rPr>
      </w:pPr>
    </w:p>
    <w:p w14:paraId="5313FBE1" w14:textId="7F536246" w:rsidR="004A58D6" w:rsidRPr="004A58D6" w:rsidRDefault="004A58D6" w:rsidP="004A58D6">
      <w:pPr>
        <w:outlineLvl w:val="0"/>
        <w:rPr>
          <w:lang w:val="en-US"/>
        </w:rPr>
      </w:pPr>
      <w:r>
        <w:rPr>
          <w:lang w:val="en-US"/>
        </w:rPr>
        <w:t xml:space="preserve">5. </w:t>
      </w:r>
      <w:r w:rsidRPr="004A58D6">
        <w:rPr>
          <w:lang w:val="en-US"/>
        </w:rPr>
        <w:t>Every independent prescriber must demonstrate that s/he understands</w:t>
      </w:r>
      <w:r w:rsidR="004C7F77">
        <w:rPr>
          <w:lang w:val="en-US"/>
        </w:rPr>
        <w:t xml:space="preserve"> </w:t>
      </w:r>
      <w:r w:rsidRPr="004A58D6">
        <w:rPr>
          <w:b/>
          <w:bCs/>
        </w:rPr>
        <w:t xml:space="preserve">national evidence-based guidelines on the prevention and control of </w:t>
      </w:r>
      <w:proofErr w:type="gramStart"/>
      <w:r w:rsidRPr="004A58D6">
        <w:rPr>
          <w:b/>
          <w:bCs/>
        </w:rPr>
        <w:t>infection</w:t>
      </w:r>
      <w:r w:rsidRPr="004A58D6">
        <w:t>, and</w:t>
      </w:r>
      <w:proofErr w:type="gramEnd"/>
      <w:r w:rsidRPr="004A58D6">
        <w:t xml:space="preserve"> uses this knowledge when prescribing. </w:t>
      </w:r>
    </w:p>
    <w:p w14:paraId="35109A62" w14:textId="77777777" w:rsidR="00126F1E" w:rsidRPr="00126F1E" w:rsidRDefault="00126F1E" w:rsidP="00126F1E">
      <w:pPr>
        <w:outlineLvl w:val="0"/>
        <w:rPr>
          <w:i/>
        </w:rPr>
      </w:pPr>
      <w:r>
        <w:rPr>
          <w:i/>
        </w:rPr>
        <w:t>Median score = 7</w:t>
      </w:r>
    </w:p>
    <w:p w14:paraId="5FFED58A" w14:textId="5473E361" w:rsidR="004A58D6" w:rsidRPr="004A58D6" w:rsidRDefault="004A58D6" w:rsidP="004A58D6">
      <w:pPr>
        <w:outlineLvl w:val="0"/>
        <w:rPr>
          <w:lang w:val="en-US"/>
        </w:rPr>
      </w:pPr>
    </w:p>
    <w:p w14:paraId="1BD7755B" w14:textId="4687EFC6" w:rsidR="004A58D6" w:rsidRPr="004A58D6" w:rsidRDefault="004A58D6" w:rsidP="004A58D6">
      <w:pPr>
        <w:outlineLvl w:val="0"/>
        <w:rPr>
          <w:lang w:val="en-US"/>
        </w:rPr>
      </w:pPr>
      <w:r>
        <w:rPr>
          <w:lang w:val="en-US"/>
        </w:rPr>
        <w:t xml:space="preserve">6. </w:t>
      </w:r>
      <w:r w:rsidRPr="004A58D6">
        <w:rPr>
          <w:lang w:val="en-US"/>
        </w:rPr>
        <w:t>Every independent prescriber must demonstrate that s/he understands</w:t>
      </w:r>
      <w:r w:rsidR="004C7F77">
        <w:rPr>
          <w:lang w:val="en-US"/>
        </w:rPr>
        <w:t xml:space="preserve"> </w:t>
      </w:r>
      <w:r w:rsidRPr="004A58D6">
        <w:rPr>
          <w:b/>
          <w:bCs/>
        </w:rPr>
        <w:t xml:space="preserve">local guidance documents on the prevention and control of </w:t>
      </w:r>
      <w:proofErr w:type="gramStart"/>
      <w:r w:rsidRPr="004A58D6">
        <w:rPr>
          <w:b/>
          <w:bCs/>
        </w:rPr>
        <w:t>infection</w:t>
      </w:r>
      <w:r w:rsidRPr="004A58D6">
        <w:t>, and</w:t>
      </w:r>
      <w:proofErr w:type="gramEnd"/>
      <w:r w:rsidRPr="004A58D6">
        <w:t xml:space="preserve"> uses this knowledge when prescribing. </w:t>
      </w:r>
    </w:p>
    <w:p w14:paraId="583E7D1D" w14:textId="52F74E0E" w:rsidR="00126F1E" w:rsidRPr="00126F1E" w:rsidRDefault="00126F1E" w:rsidP="00126F1E">
      <w:pPr>
        <w:outlineLvl w:val="0"/>
        <w:rPr>
          <w:i/>
        </w:rPr>
      </w:pPr>
      <w:r>
        <w:rPr>
          <w:i/>
        </w:rPr>
        <w:t xml:space="preserve">Median score = </w:t>
      </w:r>
      <w:r w:rsidR="004C7F77">
        <w:rPr>
          <w:i/>
        </w:rPr>
        <w:t>8</w:t>
      </w:r>
    </w:p>
    <w:p w14:paraId="1123126C" w14:textId="12A60D9C" w:rsidR="004A58D6" w:rsidRDefault="004A58D6" w:rsidP="00B71FE0">
      <w:pPr>
        <w:outlineLvl w:val="0"/>
        <w:rPr>
          <w:lang w:val="en-US"/>
        </w:rPr>
      </w:pPr>
    </w:p>
    <w:p w14:paraId="0764E7E7" w14:textId="475CA09A" w:rsidR="004A58D6" w:rsidRDefault="004A58D6" w:rsidP="00B71FE0">
      <w:pPr>
        <w:outlineLvl w:val="0"/>
      </w:pPr>
      <w:r>
        <w:rPr>
          <w:lang w:val="en-US"/>
        </w:rPr>
        <w:lastRenderedPageBreak/>
        <w:t xml:space="preserve">7. </w:t>
      </w:r>
      <w:r w:rsidRPr="004A58D6">
        <w:t xml:space="preserve">Every independent prescriber must demonstrate that s/he understands </w:t>
      </w:r>
      <w:r w:rsidRPr="004A58D6">
        <w:rPr>
          <w:b/>
          <w:bCs/>
        </w:rPr>
        <w:t>the need to have prevention and control of infection reflected in individual job descriptions</w:t>
      </w:r>
      <w:r w:rsidRPr="004A58D6">
        <w:t>.</w:t>
      </w:r>
    </w:p>
    <w:p w14:paraId="301BF5A3" w14:textId="77777777" w:rsidR="00126F1E" w:rsidRPr="00126F1E" w:rsidRDefault="00126F1E" w:rsidP="00126F1E">
      <w:pPr>
        <w:outlineLvl w:val="0"/>
        <w:rPr>
          <w:i/>
        </w:rPr>
      </w:pPr>
      <w:r>
        <w:rPr>
          <w:i/>
        </w:rPr>
        <w:t>Median score = 7</w:t>
      </w:r>
    </w:p>
    <w:p w14:paraId="478A156D" w14:textId="1764DC81" w:rsidR="004A58D6" w:rsidRDefault="004A58D6" w:rsidP="00B71FE0">
      <w:pPr>
        <w:outlineLvl w:val="0"/>
      </w:pPr>
    </w:p>
    <w:p w14:paraId="44C02C2E" w14:textId="72365103" w:rsidR="00A902CB" w:rsidRDefault="004A58D6" w:rsidP="00B71FE0">
      <w:pPr>
        <w:outlineLvl w:val="0"/>
      </w:pPr>
      <w:r>
        <w:t xml:space="preserve">8. </w:t>
      </w:r>
      <w:r w:rsidRPr="004A58D6">
        <w:t xml:space="preserve">Every independent prescriber must demonstrate that s/he understands </w:t>
      </w:r>
      <w:r w:rsidRPr="004A58D6">
        <w:rPr>
          <w:b/>
          <w:bCs/>
        </w:rPr>
        <w:t xml:space="preserve">how current vaccines can reduce the need for prescribing antimicrobials e.g. for </w:t>
      </w:r>
      <w:r w:rsidRPr="004A58D6">
        <w:rPr>
          <w:b/>
          <w:bCs/>
          <w:i/>
          <w:iCs/>
        </w:rPr>
        <w:t>Streptococcus pneumoniae</w:t>
      </w:r>
      <w:r w:rsidRPr="004A58D6">
        <w:t>, which can lead to a decrease in resistant microbial strains.</w:t>
      </w:r>
    </w:p>
    <w:p w14:paraId="34235C54" w14:textId="77777777" w:rsidR="00126F1E" w:rsidRPr="00126F1E" w:rsidRDefault="00126F1E" w:rsidP="00126F1E">
      <w:pPr>
        <w:outlineLvl w:val="0"/>
        <w:rPr>
          <w:i/>
        </w:rPr>
      </w:pPr>
      <w:r>
        <w:rPr>
          <w:i/>
        </w:rPr>
        <w:t>Median score = 7</w:t>
      </w:r>
    </w:p>
    <w:p w14:paraId="3A575C52" w14:textId="7D39C5EB" w:rsidR="004A58D6" w:rsidRDefault="004A58D6" w:rsidP="00B71FE0">
      <w:pPr>
        <w:outlineLvl w:val="0"/>
      </w:pPr>
    </w:p>
    <w:p w14:paraId="21485B51" w14:textId="77777777" w:rsidR="00791E3F" w:rsidRDefault="00791E3F" w:rsidP="00B71FE0">
      <w:pPr>
        <w:outlineLvl w:val="0"/>
        <w:rPr>
          <w:b/>
          <w:sz w:val="28"/>
          <w:szCs w:val="28"/>
        </w:rPr>
      </w:pPr>
    </w:p>
    <w:p w14:paraId="2C6AD2FD" w14:textId="65A5B61D" w:rsidR="004A58D6" w:rsidRPr="004A58D6" w:rsidRDefault="004A58D6" w:rsidP="00B71FE0">
      <w:pPr>
        <w:outlineLvl w:val="0"/>
        <w:rPr>
          <w:b/>
          <w:sz w:val="28"/>
          <w:szCs w:val="28"/>
        </w:rPr>
      </w:pPr>
      <w:r w:rsidRPr="004A58D6">
        <w:rPr>
          <w:b/>
          <w:sz w:val="28"/>
          <w:szCs w:val="28"/>
        </w:rPr>
        <w:t xml:space="preserve">Section </w:t>
      </w:r>
      <w:r>
        <w:rPr>
          <w:b/>
          <w:sz w:val="28"/>
          <w:szCs w:val="28"/>
        </w:rPr>
        <w:t>2</w:t>
      </w:r>
      <w:r w:rsidRPr="004A58D6">
        <w:rPr>
          <w:b/>
          <w:sz w:val="28"/>
          <w:szCs w:val="28"/>
        </w:rPr>
        <w:t xml:space="preserve">: </w:t>
      </w:r>
      <w:r>
        <w:rPr>
          <w:b/>
          <w:sz w:val="28"/>
          <w:szCs w:val="28"/>
        </w:rPr>
        <w:t>Antimicrobial prescribing</w:t>
      </w:r>
    </w:p>
    <w:p w14:paraId="03C9B86B" w14:textId="41D3C0F5" w:rsidR="004A58D6" w:rsidRPr="004A58D6" w:rsidRDefault="004A58D6" w:rsidP="004A58D6">
      <w:pPr>
        <w:outlineLvl w:val="0"/>
        <w:rPr>
          <w:lang w:val="en-US"/>
        </w:rPr>
      </w:pPr>
      <w:r>
        <w:t xml:space="preserve">1. </w:t>
      </w:r>
      <w:r w:rsidRPr="004A58D6">
        <w:t>Every independent prescriber must demonstrate that s/he understands</w:t>
      </w:r>
      <w:r w:rsidR="00327404">
        <w:rPr>
          <w:lang w:val="en-US"/>
        </w:rPr>
        <w:t xml:space="preserve"> </w:t>
      </w:r>
      <w:r w:rsidRPr="004A58D6">
        <w:rPr>
          <w:b/>
          <w:bCs/>
        </w:rPr>
        <w:t xml:space="preserve">when to use a delayed antimicrobial </w:t>
      </w:r>
      <w:proofErr w:type="gramStart"/>
      <w:r w:rsidRPr="004A58D6">
        <w:rPr>
          <w:b/>
          <w:bCs/>
        </w:rPr>
        <w:t>prescription,</w:t>
      </w:r>
      <w:r w:rsidRPr="004A58D6">
        <w:t xml:space="preserve"> and</w:t>
      </w:r>
      <w:proofErr w:type="gramEnd"/>
      <w:r w:rsidRPr="004A58D6">
        <w:t xml:space="preserve"> uses this knowledge when prescribing. </w:t>
      </w:r>
    </w:p>
    <w:p w14:paraId="684B64DE" w14:textId="77777777" w:rsidR="00126F1E" w:rsidRPr="00126F1E" w:rsidRDefault="00126F1E" w:rsidP="00126F1E">
      <w:pPr>
        <w:outlineLvl w:val="0"/>
        <w:rPr>
          <w:i/>
        </w:rPr>
      </w:pPr>
      <w:r>
        <w:rPr>
          <w:i/>
        </w:rPr>
        <w:t>Median score = 7</w:t>
      </w:r>
    </w:p>
    <w:p w14:paraId="70AECDD5" w14:textId="7D1B5E6F" w:rsidR="004A58D6" w:rsidRPr="004A58D6" w:rsidRDefault="004A58D6" w:rsidP="00B71FE0">
      <w:pPr>
        <w:outlineLvl w:val="0"/>
        <w:rPr>
          <w:lang w:val="en-US"/>
        </w:rPr>
      </w:pPr>
    </w:p>
    <w:p w14:paraId="21D90FB2" w14:textId="6536EC35" w:rsidR="004A58D6" w:rsidRDefault="004A58D6" w:rsidP="004A58D6">
      <w:pPr>
        <w:outlineLvl w:val="0"/>
      </w:pPr>
      <w:r>
        <w:t xml:space="preserve">2. </w:t>
      </w:r>
      <w:r w:rsidRPr="004A58D6">
        <w:rPr>
          <w:lang w:val="en-US"/>
        </w:rPr>
        <w:t>Every independent prescriber must demonstrate that s/he understands</w:t>
      </w:r>
      <w:r w:rsidR="00327404">
        <w:rPr>
          <w:lang w:val="en-US"/>
        </w:rPr>
        <w:t xml:space="preserve"> </w:t>
      </w:r>
      <w:r w:rsidRPr="004A58D6">
        <w:rPr>
          <w:b/>
          <w:bCs/>
        </w:rPr>
        <w:t xml:space="preserve">how to negotiate use of a delayed antimicrobial prescription with the </w:t>
      </w:r>
      <w:proofErr w:type="gramStart"/>
      <w:r w:rsidRPr="004A58D6">
        <w:rPr>
          <w:b/>
          <w:bCs/>
        </w:rPr>
        <w:t>patient,</w:t>
      </w:r>
      <w:r w:rsidRPr="004A58D6">
        <w:t xml:space="preserve"> and</w:t>
      </w:r>
      <w:proofErr w:type="gramEnd"/>
      <w:r w:rsidRPr="004A58D6">
        <w:t xml:space="preserve"> uses this knowledge when prescribing.</w:t>
      </w:r>
    </w:p>
    <w:p w14:paraId="7DCC9AE3" w14:textId="77777777" w:rsidR="00126F1E" w:rsidRPr="00126F1E" w:rsidRDefault="00126F1E" w:rsidP="00126F1E">
      <w:pPr>
        <w:outlineLvl w:val="0"/>
        <w:rPr>
          <w:i/>
        </w:rPr>
      </w:pPr>
      <w:r>
        <w:rPr>
          <w:i/>
        </w:rPr>
        <w:t>Median score = 7</w:t>
      </w:r>
    </w:p>
    <w:p w14:paraId="071087C5" w14:textId="2035543B" w:rsidR="00C92011" w:rsidRDefault="00C92011" w:rsidP="004A58D6">
      <w:pPr>
        <w:outlineLvl w:val="0"/>
      </w:pPr>
    </w:p>
    <w:p w14:paraId="1181C122" w14:textId="6EEAA24B" w:rsidR="00C92011" w:rsidRPr="00C92011" w:rsidRDefault="00C92011" w:rsidP="00C92011">
      <w:pPr>
        <w:outlineLvl w:val="0"/>
        <w:rPr>
          <w:lang w:val="en-US"/>
        </w:rPr>
      </w:pPr>
      <w:r>
        <w:t xml:space="preserve">3. </w:t>
      </w:r>
      <w:r w:rsidRPr="00C92011">
        <w:t xml:space="preserve">Every independent prescriber must demonstrate that s/he understands </w:t>
      </w:r>
      <w:r w:rsidRPr="00C92011">
        <w:rPr>
          <w:b/>
          <w:bCs/>
        </w:rPr>
        <w:t>key elements of initiating prescribing an antimicrobial (indicated below)</w:t>
      </w:r>
      <w:r w:rsidRPr="00C92011">
        <w:t>, and uses this knowledge when prescribing:</w:t>
      </w:r>
    </w:p>
    <w:p w14:paraId="38ED0FBC" w14:textId="0DDAEFBE" w:rsidR="00C92011" w:rsidRPr="00B672EF" w:rsidRDefault="00C92011" w:rsidP="00C92011">
      <w:pPr>
        <w:pStyle w:val="ListParagraph"/>
        <w:numPr>
          <w:ilvl w:val="0"/>
          <w:numId w:val="15"/>
        </w:numPr>
        <w:outlineLvl w:val="0"/>
        <w:rPr>
          <w:lang w:val="en-US"/>
        </w:rPr>
      </w:pPr>
      <w:r w:rsidRPr="00C92011">
        <w:rPr>
          <w:b/>
          <w:bCs/>
        </w:rPr>
        <w:t>knowing where to find information on the costs of different antimicrobial treatments</w:t>
      </w:r>
      <w:r w:rsidR="00B672EF">
        <w:rPr>
          <w:b/>
          <w:bCs/>
        </w:rPr>
        <w:t xml:space="preserve"> </w:t>
      </w:r>
      <w:r w:rsidR="00B672EF" w:rsidRPr="00B672EF">
        <w:rPr>
          <w:bCs/>
        </w:rPr>
        <w:t>(</w:t>
      </w:r>
      <w:r w:rsidR="0059138D">
        <w:rPr>
          <w:bCs/>
        </w:rPr>
        <w:t>55% agree to include)</w:t>
      </w:r>
    </w:p>
    <w:p w14:paraId="015FEB96" w14:textId="6B2AE95B" w:rsidR="00B672EF" w:rsidRPr="00B672EF" w:rsidRDefault="00B672EF" w:rsidP="00B672EF">
      <w:pPr>
        <w:pStyle w:val="ListParagraph"/>
        <w:numPr>
          <w:ilvl w:val="0"/>
          <w:numId w:val="15"/>
        </w:numPr>
        <w:outlineLvl w:val="0"/>
        <w:rPr>
          <w:b/>
          <w:lang w:val="en-US"/>
        </w:rPr>
      </w:pPr>
      <w:r w:rsidRPr="00B672EF">
        <w:rPr>
          <w:b/>
          <w:lang w:val="en-US"/>
        </w:rPr>
        <w:t>the generic and local trade names of available antimicrobials</w:t>
      </w:r>
      <w:r>
        <w:rPr>
          <w:b/>
          <w:lang w:val="en-US"/>
        </w:rPr>
        <w:t xml:space="preserve"> </w:t>
      </w:r>
      <w:r w:rsidRPr="00B672EF">
        <w:rPr>
          <w:lang w:val="en-US"/>
        </w:rPr>
        <w:t>(</w:t>
      </w:r>
      <w:r>
        <w:rPr>
          <w:lang w:val="en-US"/>
        </w:rPr>
        <w:t>43% agree</w:t>
      </w:r>
      <w:r w:rsidR="00A71A26">
        <w:rPr>
          <w:lang w:val="en-US"/>
        </w:rPr>
        <w:t xml:space="preserve"> to include</w:t>
      </w:r>
      <w:r w:rsidRPr="00B672EF">
        <w:rPr>
          <w:lang w:val="en-US"/>
        </w:rPr>
        <w:t>)</w:t>
      </w:r>
    </w:p>
    <w:p w14:paraId="5596DA1A" w14:textId="0F05F29B" w:rsidR="004C7F77" w:rsidRDefault="00FE74EF" w:rsidP="00FE74EF">
      <w:pPr>
        <w:outlineLvl w:val="0"/>
        <w:rPr>
          <w:lang w:val="en-US"/>
        </w:rPr>
      </w:pPr>
      <w:r w:rsidRPr="00832576">
        <w:rPr>
          <w:i/>
          <w:lang w:val="en-US"/>
        </w:rPr>
        <w:t>[Note</w:t>
      </w:r>
      <w:r w:rsidR="00D43886">
        <w:rPr>
          <w:i/>
          <w:lang w:val="en-US"/>
        </w:rPr>
        <w:t>:</w:t>
      </w:r>
      <w:r w:rsidRPr="00832576">
        <w:rPr>
          <w:i/>
          <w:lang w:val="en-US"/>
        </w:rPr>
        <w:t xml:space="preserve"> the competency was selected, however th</w:t>
      </w:r>
      <w:r w:rsidR="00641F7B">
        <w:rPr>
          <w:i/>
          <w:lang w:val="en-US"/>
        </w:rPr>
        <w:t>ese</w:t>
      </w:r>
      <w:r w:rsidRPr="00832576">
        <w:rPr>
          <w:i/>
          <w:lang w:val="en-US"/>
        </w:rPr>
        <w:t xml:space="preserve"> </w:t>
      </w:r>
      <w:r w:rsidR="00832576">
        <w:rPr>
          <w:i/>
          <w:lang w:val="en-US"/>
        </w:rPr>
        <w:t xml:space="preserve">specific </w:t>
      </w:r>
      <w:r w:rsidRPr="00832576">
        <w:rPr>
          <w:i/>
          <w:lang w:val="en-US"/>
        </w:rPr>
        <w:t>sub-point</w:t>
      </w:r>
      <w:r w:rsidR="00641F7B">
        <w:rPr>
          <w:i/>
          <w:lang w:val="en-US"/>
        </w:rPr>
        <w:t>s</w:t>
      </w:r>
      <w:r w:rsidRPr="00832576">
        <w:rPr>
          <w:i/>
          <w:lang w:val="en-US"/>
        </w:rPr>
        <w:t xml:space="preserve"> </w:t>
      </w:r>
      <w:r w:rsidR="00641F7B">
        <w:rPr>
          <w:i/>
          <w:lang w:val="en-US"/>
        </w:rPr>
        <w:t xml:space="preserve">were </w:t>
      </w:r>
      <w:r w:rsidRPr="00832576">
        <w:rPr>
          <w:i/>
          <w:lang w:val="en-US"/>
        </w:rPr>
        <w:t>excluded]</w:t>
      </w:r>
    </w:p>
    <w:p w14:paraId="24FB8E6B" w14:textId="61935F88" w:rsidR="004C7F77" w:rsidRDefault="004C7F77" w:rsidP="00FE74EF">
      <w:pPr>
        <w:outlineLvl w:val="0"/>
        <w:rPr>
          <w:lang w:val="en-US"/>
        </w:rPr>
      </w:pPr>
    </w:p>
    <w:p w14:paraId="6DC4DB3D" w14:textId="19445A8D" w:rsidR="004C7F77" w:rsidRDefault="004C7F77" w:rsidP="00FE74EF">
      <w:pPr>
        <w:outlineLvl w:val="0"/>
        <w:rPr>
          <w:lang w:val="en-US"/>
        </w:rPr>
      </w:pPr>
      <w:r>
        <w:rPr>
          <w:lang w:val="en-US"/>
        </w:rPr>
        <w:t xml:space="preserve">4. </w:t>
      </w:r>
      <w:r w:rsidR="00A02F02" w:rsidRPr="00A02F02">
        <w:rPr>
          <w:lang w:val="en-US"/>
        </w:rPr>
        <w:t xml:space="preserve">Every independent prescriber must demonstrate that s/he understands </w:t>
      </w:r>
      <w:r w:rsidR="00A02F02" w:rsidRPr="00975408">
        <w:rPr>
          <w:b/>
          <w:lang w:val="en-US"/>
        </w:rPr>
        <w:t xml:space="preserve">the key elements of a logical approach to continuation and </w:t>
      </w:r>
      <w:proofErr w:type="spellStart"/>
      <w:r w:rsidR="00A02F02" w:rsidRPr="00975408">
        <w:rPr>
          <w:b/>
          <w:lang w:val="en-US"/>
        </w:rPr>
        <w:t>rationalisation</w:t>
      </w:r>
      <w:proofErr w:type="spellEnd"/>
      <w:r w:rsidR="00A02F02" w:rsidRPr="00975408">
        <w:rPr>
          <w:b/>
          <w:lang w:val="en-US"/>
        </w:rPr>
        <w:t xml:space="preserve"> of antimicrobial therapy (indicated below)</w:t>
      </w:r>
      <w:r w:rsidR="00A02F02" w:rsidRPr="00A02F02">
        <w:rPr>
          <w:lang w:val="en-US"/>
        </w:rPr>
        <w:t>, and uses this knowledge when prescribing:</w:t>
      </w:r>
    </w:p>
    <w:p w14:paraId="59BD4BCD" w14:textId="45D84B76" w:rsidR="00A02F02" w:rsidRPr="00975408" w:rsidRDefault="00CD2260" w:rsidP="00975408">
      <w:pPr>
        <w:pStyle w:val="ListParagraph"/>
        <w:numPr>
          <w:ilvl w:val="0"/>
          <w:numId w:val="17"/>
        </w:numPr>
        <w:outlineLvl w:val="0"/>
        <w:rPr>
          <w:lang w:val="en-US"/>
        </w:rPr>
      </w:pPr>
      <w:r w:rsidRPr="00975408">
        <w:rPr>
          <w:lang w:val="en-US"/>
        </w:rPr>
        <w:t>consider, if indicated, Outpatient Parenteral Antibiotic Therapy (</w:t>
      </w:r>
      <w:proofErr w:type="spellStart"/>
      <w:r w:rsidRPr="00975408">
        <w:rPr>
          <w:lang w:val="en-US"/>
        </w:rPr>
        <w:t>OPAT</w:t>
      </w:r>
      <w:proofErr w:type="spellEnd"/>
      <w:r w:rsidRPr="00975408">
        <w:rPr>
          <w:lang w:val="en-US"/>
        </w:rPr>
        <w:t>)</w:t>
      </w:r>
      <w:r w:rsidR="00AF5867">
        <w:rPr>
          <w:lang w:val="en-US"/>
        </w:rPr>
        <w:t xml:space="preserve"> (37% agree to include)</w:t>
      </w:r>
    </w:p>
    <w:p w14:paraId="307213CD" w14:textId="1920811D" w:rsidR="004A58D6" w:rsidRPr="00A02F02" w:rsidRDefault="00A02F02" w:rsidP="004A58D6">
      <w:pPr>
        <w:outlineLvl w:val="0"/>
        <w:rPr>
          <w:lang w:val="en-US"/>
        </w:rPr>
      </w:pPr>
      <w:r w:rsidRPr="00832576">
        <w:rPr>
          <w:i/>
          <w:lang w:val="en-US"/>
        </w:rPr>
        <w:t>[Note</w:t>
      </w:r>
      <w:r w:rsidR="00D43886">
        <w:rPr>
          <w:i/>
          <w:lang w:val="en-US"/>
        </w:rPr>
        <w:t>:</w:t>
      </w:r>
      <w:r w:rsidRPr="00832576">
        <w:rPr>
          <w:i/>
          <w:lang w:val="en-US"/>
        </w:rPr>
        <w:t xml:space="preserve"> the competency was selected, however </w:t>
      </w:r>
      <w:r>
        <w:rPr>
          <w:i/>
          <w:lang w:val="en-US"/>
        </w:rPr>
        <w:t xml:space="preserve">this specific </w:t>
      </w:r>
      <w:r w:rsidRPr="00832576">
        <w:rPr>
          <w:i/>
          <w:lang w:val="en-US"/>
        </w:rPr>
        <w:t xml:space="preserve">sub-point </w:t>
      </w:r>
      <w:r>
        <w:rPr>
          <w:i/>
          <w:lang w:val="en-US"/>
        </w:rPr>
        <w:t xml:space="preserve">was </w:t>
      </w:r>
      <w:r w:rsidRPr="00832576">
        <w:rPr>
          <w:i/>
          <w:lang w:val="en-US"/>
        </w:rPr>
        <w:t>excluded]</w:t>
      </w:r>
    </w:p>
    <w:p w14:paraId="05FE8895" w14:textId="4054C613" w:rsidR="006236C6" w:rsidRDefault="006236C6" w:rsidP="004A58D6">
      <w:pPr>
        <w:outlineLvl w:val="0"/>
        <w:rPr>
          <w:b/>
          <w:sz w:val="28"/>
          <w:szCs w:val="28"/>
        </w:rPr>
      </w:pPr>
    </w:p>
    <w:p w14:paraId="3ED279E1" w14:textId="4E1CC23F" w:rsidR="006236C6" w:rsidRDefault="006236C6" w:rsidP="006236C6">
      <w:pPr>
        <w:outlineLvl w:val="0"/>
        <w:rPr>
          <w:b/>
          <w:lang w:val="en-US"/>
        </w:rPr>
      </w:pPr>
      <w:r>
        <w:rPr>
          <w:lang w:val="en-US"/>
        </w:rPr>
        <w:t xml:space="preserve">5. </w:t>
      </w:r>
      <w:r w:rsidRPr="006236C6">
        <w:rPr>
          <w:lang w:val="en-US"/>
        </w:rPr>
        <w:t>Every independent prescriber must demonstrate that s/he understands</w:t>
      </w:r>
      <w:r>
        <w:rPr>
          <w:lang w:val="en-US"/>
        </w:rPr>
        <w:t xml:space="preserve"> </w:t>
      </w:r>
      <w:r w:rsidRPr="006236C6">
        <w:rPr>
          <w:b/>
          <w:lang w:val="en-US"/>
        </w:rPr>
        <w:t>that the use of broader spectrum antimicrobials does not lead to better patient outcomes unless a patient has risk factors for antimicrobial resistance.</w:t>
      </w:r>
    </w:p>
    <w:p w14:paraId="6DDF0964" w14:textId="33EB6184" w:rsidR="006236C6" w:rsidRPr="006236C6" w:rsidRDefault="006236C6" w:rsidP="006236C6">
      <w:pPr>
        <w:outlineLvl w:val="0"/>
        <w:rPr>
          <w:b/>
          <w:i/>
          <w:lang w:val="en-US"/>
        </w:rPr>
      </w:pPr>
      <w:r w:rsidRPr="006236C6">
        <w:rPr>
          <w:bCs/>
          <w:i/>
        </w:rPr>
        <w:t>Newly suggested at face-to-face meeting, not selected for assessment by full expert panel</w:t>
      </w:r>
    </w:p>
    <w:p w14:paraId="2ADA624E" w14:textId="1AC0426F" w:rsidR="00AF5867" w:rsidRDefault="00AF5867" w:rsidP="004A58D6">
      <w:pPr>
        <w:outlineLvl w:val="0"/>
        <w:rPr>
          <w:b/>
          <w:sz w:val="28"/>
          <w:szCs w:val="28"/>
        </w:rPr>
      </w:pPr>
    </w:p>
    <w:p w14:paraId="5CC149A8" w14:textId="77777777" w:rsidR="00962F20" w:rsidRDefault="00962F20" w:rsidP="004A58D6">
      <w:pPr>
        <w:outlineLvl w:val="0"/>
        <w:rPr>
          <w:b/>
          <w:sz w:val="28"/>
          <w:szCs w:val="28"/>
        </w:rPr>
      </w:pPr>
    </w:p>
    <w:p w14:paraId="36D97427" w14:textId="14200DDB" w:rsidR="004A58D6" w:rsidRPr="004A58D6" w:rsidRDefault="004A58D6" w:rsidP="004A58D6">
      <w:pPr>
        <w:outlineLvl w:val="0"/>
        <w:rPr>
          <w:b/>
          <w:sz w:val="28"/>
          <w:szCs w:val="28"/>
        </w:rPr>
      </w:pPr>
      <w:r w:rsidRPr="004A58D6">
        <w:rPr>
          <w:b/>
          <w:sz w:val="28"/>
          <w:szCs w:val="28"/>
        </w:rPr>
        <w:t xml:space="preserve">Section </w:t>
      </w:r>
      <w:r>
        <w:rPr>
          <w:b/>
          <w:sz w:val="28"/>
          <w:szCs w:val="28"/>
        </w:rPr>
        <w:t>3</w:t>
      </w:r>
      <w:r w:rsidRPr="004A58D6">
        <w:rPr>
          <w:b/>
          <w:sz w:val="28"/>
          <w:szCs w:val="28"/>
        </w:rPr>
        <w:t xml:space="preserve">: </w:t>
      </w:r>
      <w:r>
        <w:rPr>
          <w:b/>
          <w:sz w:val="28"/>
          <w:szCs w:val="28"/>
        </w:rPr>
        <w:t>Antimicrobial stewardship</w:t>
      </w:r>
    </w:p>
    <w:p w14:paraId="25E8BA82" w14:textId="7A0E5D59" w:rsidR="004A58D6" w:rsidRPr="004A58D6" w:rsidRDefault="004A58D6" w:rsidP="004A58D6">
      <w:pPr>
        <w:outlineLvl w:val="0"/>
        <w:rPr>
          <w:lang w:val="en-US"/>
        </w:rPr>
      </w:pPr>
      <w:r>
        <w:t xml:space="preserve">1. </w:t>
      </w:r>
      <w:r w:rsidRPr="004A58D6">
        <w:rPr>
          <w:lang w:val="en-US"/>
        </w:rPr>
        <w:t>Every independent prescriber must demonstrate that s/he understands</w:t>
      </w:r>
    </w:p>
    <w:p w14:paraId="2CE058ED" w14:textId="0A4BF4B6" w:rsidR="004A58D6" w:rsidRDefault="004A58D6" w:rsidP="004A58D6">
      <w:pPr>
        <w:outlineLvl w:val="0"/>
        <w:rPr>
          <w:b/>
          <w:bCs/>
        </w:rPr>
      </w:pPr>
      <w:r w:rsidRPr="004A58D6">
        <w:rPr>
          <w:b/>
          <w:bCs/>
        </w:rPr>
        <w:t>how the use of the results of the following can inform, in a timely manner, best antimicrobial prescribing practices, and so produce sustained improvements in the quality of patient care</w:t>
      </w:r>
      <w:r>
        <w:rPr>
          <w:b/>
          <w:bCs/>
        </w:rPr>
        <w:t>:</w:t>
      </w:r>
    </w:p>
    <w:p w14:paraId="67657545" w14:textId="6C28DE23" w:rsidR="00234663" w:rsidRPr="00A96A80" w:rsidRDefault="00861E93" w:rsidP="00DB71DB">
      <w:pPr>
        <w:pStyle w:val="ListParagraph"/>
        <w:numPr>
          <w:ilvl w:val="0"/>
          <w:numId w:val="16"/>
        </w:numPr>
        <w:outlineLvl w:val="0"/>
        <w:rPr>
          <w:lang w:val="en-US"/>
        </w:rPr>
      </w:pPr>
      <w:r w:rsidRPr="004A58D6">
        <w:lastRenderedPageBreak/>
        <w:t>Adverse event monitoring</w:t>
      </w:r>
      <w:r w:rsidR="00A96A80">
        <w:t xml:space="preserve"> (69% agree to include)</w:t>
      </w:r>
    </w:p>
    <w:p w14:paraId="76DEE357" w14:textId="35A7C438" w:rsidR="00A96A80" w:rsidRPr="00A96A80" w:rsidRDefault="00A96A80" w:rsidP="00DB71DB">
      <w:pPr>
        <w:pStyle w:val="ListParagraph"/>
        <w:numPr>
          <w:ilvl w:val="0"/>
          <w:numId w:val="16"/>
        </w:numPr>
        <w:outlineLvl w:val="0"/>
        <w:rPr>
          <w:lang w:val="en-US"/>
        </w:rPr>
      </w:pPr>
      <w:r>
        <w:t>Laboratory susceptibility reports (89% agree to include)</w:t>
      </w:r>
    </w:p>
    <w:p w14:paraId="3A50D366" w14:textId="4BEDB299" w:rsidR="00234663" w:rsidRPr="00A96A80" w:rsidRDefault="00861E93" w:rsidP="00DB71DB">
      <w:pPr>
        <w:pStyle w:val="ListParagraph"/>
        <w:numPr>
          <w:ilvl w:val="0"/>
          <w:numId w:val="16"/>
        </w:numPr>
        <w:outlineLvl w:val="0"/>
        <w:rPr>
          <w:lang w:val="en-US"/>
        </w:rPr>
      </w:pPr>
      <w:r w:rsidRPr="004A58D6">
        <w:t>Antimicrobial prescribing audits</w:t>
      </w:r>
      <w:r w:rsidR="00A96A80">
        <w:t xml:space="preserve"> (68% agree to include)</w:t>
      </w:r>
    </w:p>
    <w:p w14:paraId="05B12F2C" w14:textId="2E7ADD68" w:rsidR="00A96A80" w:rsidRPr="00D43886" w:rsidRDefault="00A96A80" w:rsidP="00DB71DB">
      <w:pPr>
        <w:pStyle w:val="ListParagraph"/>
        <w:numPr>
          <w:ilvl w:val="0"/>
          <w:numId w:val="16"/>
        </w:numPr>
        <w:outlineLvl w:val="0"/>
        <w:rPr>
          <w:lang w:val="en-US"/>
        </w:rPr>
      </w:pPr>
      <w:r>
        <w:t>Antimicrobial usage data (57% agree to include)</w:t>
      </w:r>
    </w:p>
    <w:p w14:paraId="3A8C9900" w14:textId="48F77200" w:rsidR="00D43886" w:rsidRPr="00D43886" w:rsidRDefault="00D43886" w:rsidP="00D43886">
      <w:pPr>
        <w:outlineLvl w:val="0"/>
        <w:rPr>
          <w:i/>
          <w:lang w:val="en-US"/>
        </w:rPr>
      </w:pPr>
      <w:r>
        <w:rPr>
          <w:i/>
          <w:lang w:val="en-US"/>
        </w:rPr>
        <w:t xml:space="preserve">[Note: the entire competency had a median score of </w:t>
      </w:r>
      <w:proofErr w:type="gramStart"/>
      <w:r>
        <w:rPr>
          <w:i/>
          <w:lang w:val="en-US"/>
        </w:rPr>
        <w:t>8, but</w:t>
      </w:r>
      <w:proofErr w:type="gramEnd"/>
      <w:r>
        <w:rPr>
          <w:i/>
          <w:lang w:val="en-US"/>
        </w:rPr>
        <w:t xml:space="preserve"> was excluded.</w:t>
      </w:r>
      <w:r w:rsidR="005B5F9E">
        <w:rPr>
          <w:i/>
          <w:lang w:val="en-US"/>
        </w:rPr>
        <w:t xml:space="preserve"> Laboratory susceptibility reports for individual patients were considered to be covered in other selected competencies]</w:t>
      </w:r>
    </w:p>
    <w:p w14:paraId="7B865026" w14:textId="545B7071" w:rsidR="006C6807" w:rsidRDefault="006C6807" w:rsidP="006C6807">
      <w:pPr>
        <w:outlineLvl w:val="0"/>
        <w:rPr>
          <w:b/>
          <w:bCs/>
        </w:rPr>
      </w:pPr>
    </w:p>
    <w:p w14:paraId="00D71A00" w14:textId="2E410C8C" w:rsidR="006C6807" w:rsidRPr="006C6807" w:rsidRDefault="006C6807" w:rsidP="006C6807">
      <w:pPr>
        <w:outlineLvl w:val="0"/>
        <w:rPr>
          <w:bCs/>
          <w:lang w:val="en-US"/>
        </w:rPr>
      </w:pPr>
      <w:r>
        <w:rPr>
          <w:bCs/>
        </w:rPr>
        <w:t>2.</w:t>
      </w:r>
      <w:r w:rsidRPr="006C6807">
        <w:rPr>
          <w:rFonts w:eastAsiaTheme="minorEastAsia" w:hAnsi="Calibri"/>
          <w:color w:val="000000" w:themeColor="text1"/>
          <w:kern w:val="24"/>
          <w:sz w:val="58"/>
          <w:szCs w:val="58"/>
        </w:rPr>
        <w:t xml:space="preserve"> </w:t>
      </w:r>
      <w:r w:rsidRPr="006C6807">
        <w:rPr>
          <w:bCs/>
          <w:lang w:val="en-US"/>
        </w:rPr>
        <w:t xml:space="preserve">Every independent prescriber must </w:t>
      </w:r>
      <w:r w:rsidRPr="006C6807">
        <w:rPr>
          <w:b/>
          <w:bCs/>
          <w:lang w:val="en-US"/>
        </w:rPr>
        <w:t>take part in continuing professional development in antimicrobial prescribing and stewardship by:</w:t>
      </w:r>
    </w:p>
    <w:p w14:paraId="7858BF2B" w14:textId="501E86F9" w:rsidR="00915706" w:rsidRPr="00915706" w:rsidRDefault="00915706" w:rsidP="00915706">
      <w:pPr>
        <w:pStyle w:val="ListParagraph"/>
        <w:numPr>
          <w:ilvl w:val="0"/>
          <w:numId w:val="13"/>
        </w:numPr>
        <w:outlineLvl w:val="0"/>
        <w:rPr>
          <w:bCs/>
          <w:lang w:val="en-US"/>
        </w:rPr>
      </w:pPr>
      <w:r>
        <w:rPr>
          <w:bCs/>
        </w:rPr>
        <w:t>E</w:t>
      </w:r>
      <w:r w:rsidRPr="00915706">
        <w:rPr>
          <w:bCs/>
        </w:rPr>
        <w:t>ngaging the views of others involved in antimicrobial treatment policy decisions including championing best practice</w:t>
      </w:r>
      <w:r>
        <w:rPr>
          <w:bCs/>
        </w:rPr>
        <w:t xml:space="preserve"> (49% agree to include)</w:t>
      </w:r>
    </w:p>
    <w:p w14:paraId="1EDFF3DC" w14:textId="32F34520" w:rsidR="006C6807" w:rsidRPr="006C6807" w:rsidRDefault="006C6807" w:rsidP="00915706">
      <w:pPr>
        <w:pStyle w:val="ListParagraph"/>
        <w:numPr>
          <w:ilvl w:val="0"/>
          <w:numId w:val="13"/>
        </w:numPr>
        <w:outlineLvl w:val="0"/>
        <w:rPr>
          <w:bCs/>
          <w:lang w:val="en-US"/>
        </w:rPr>
      </w:pPr>
      <w:r w:rsidRPr="006C6807">
        <w:rPr>
          <w:bCs/>
        </w:rPr>
        <w:t>Engaging regularly in team-based measurement of the quality and quantity of antimicrobial use</w:t>
      </w:r>
      <w:r w:rsidR="00915706">
        <w:rPr>
          <w:bCs/>
        </w:rPr>
        <w:t xml:space="preserve"> (66% agree to include)</w:t>
      </w:r>
    </w:p>
    <w:p w14:paraId="6F1492EB" w14:textId="021ED3E5" w:rsidR="006C6807" w:rsidRPr="006C6807" w:rsidRDefault="00861E93" w:rsidP="006C6807">
      <w:pPr>
        <w:pStyle w:val="ListParagraph"/>
        <w:numPr>
          <w:ilvl w:val="0"/>
          <w:numId w:val="13"/>
        </w:numPr>
        <w:outlineLvl w:val="0"/>
        <w:rPr>
          <w:bCs/>
          <w:lang w:val="en-US"/>
        </w:rPr>
      </w:pPr>
      <w:r w:rsidRPr="006C6807">
        <w:rPr>
          <w:bCs/>
        </w:rPr>
        <w:t>Understanding that measurements of the quality and quantity of antimicrobial use should be shared with prescribers</w:t>
      </w:r>
      <w:r w:rsidR="00915706">
        <w:rPr>
          <w:bCs/>
        </w:rPr>
        <w:t xml:space="preserve"> (74% agree to include)</w:t>
      </w:r>
    </w:p>
    <w:p w14:paraId="5FB90EE5" w14:textId="30FDC90C" w:rsidR="00915706" w:rsidRPr="00915706" w:rsidRDefault="006C6807" w:rsidP="00915706">
      <w:pPr>
        <w:pStyle w:val="ListParagraph"/>
        <w:numPr>
          <w:ilvl w:val="0"/>
          <w:numId w:val="13"/>
        </w:numPr>
        <w:outlineLvl w:val="0"/>
        <w:rPr>
          <w:bCs/>
          <w:lang w:val="en-US"/>
        </w:rPr>
      </w:pPr>
      <w:r w:rsidRPr="006C6807">
        <w:rPr>
          <w:bCs/>
        </w:rPr>
        <w:t>Understanding that measurements of the quality and quantity of antimicrobial use inform antimicrobial surveillance/infection prevention and control measures</w:t>
      </w:r>
      <w:r w:rsidR="00915706">
        <w:rPr>
          <w:bCs/>
        </w:rPr>
        <w:t xml:space="preserve"> (68% agree to include)</w:t>
      </w:r>
    </w:p>
    <w:p w14:paraId="679D3161" w14:textId="42E76744" w:rsidR="00DF1B87" w:rsidRDefault="00915706" w:rsidP="00915706">
      <w:pPr>
        <w:outlineLvl w:val="0"/>
        <w:rPr>
          <w:lang w:val="en-US"/>
        </w:rPr>
      </w:pPr>
      <w:r w:rsidRPr="00832576">
        <w:rPr>
          <w:i/>
          <w:lang w:val="en-US"/>
        </w:rPr>
        <w:t>[Note</w:t>
      </w:r>
      <w:r>
        <w:rPr>
          <w:i/>
          <w:lang w:val="en-US"/>
        </w:rPr>
        <w:t>:</w:t>
      </w:r>
      <w:r w:rsidRPr="00832576">
        <w:rPr>
          <w:i/>
          <w:lang w:val="en-US"/>
        </w:rPr>
        <w:t xml:space="preserve"> the competency was selected, however th</w:t>
      </w:r>
      <w:r>
        <w:rPr>
          <w:i/>
          <w:lang w:val="en-US"/>
        </w:rPr>
        <w:t>ese</w:t>
      </w:r>
      <w:r w:rsidRPr="00832576">
        <w:rPr>
          <w:i/>
          <w:lang w:val="en-US"/>
        </w:rPr>
        <w:t xml:space="preserve"> </w:t>
      </w:r>
      <w:r>
        <w:rPr>
          <w:i/>
          <w:lang w:val="en-US"/>
        </w:rPr>
        <w:t xml:space="preserve">specific </w:t>
      </w:r>
      <w:r w:rsidRPr="00832576">
        <w:rPr>
          <w:i/>
          <w:lang w:val="en-US"/>
        </w:rPr>
        <w:t>sub-point</w:t>
      </w:r>
      <w:r>
        <w:rPr>
          <w:i/>
          <w:lang w:val="en-US"/>
        </w:rPr>
        <w:t>s</w:t>
      </w:r>
      <w:r w:rsidRPr="00832576">
        <w:rPr>
          <w:i/>
          <w:lang w:val="en-US"/>
        </w:rPr>
        <w:t xml:space="preserve"> </w:t>
      </w:r>
      <w:r>
        <w:rPr>
          <w:i/>
          <w:lang w:val="en-US"/>
        </w:rPr>
        <w:t xml:space="preserve">were </w:t>
      </w:r>
      <w:r w:rsidRPr="00832576">
        <w:rPr>
          <w:i/>
          <w:lang w:val="en-US"/>
        </w:rPr>
        <w:t>excluded]</w:t>
      </w:r>
    </w:p>
    <w:p w14:paraId="367F0B75" w14:textId="2E820342" w:rsidR="00915706" w:rsidRPr="00DF1B87" w:rsidRDefault="00915706" w:rsidP="00DF1B87">
      <w:pPr>
        <w:rPr>
          <w:lang w:val="en-US"/>
        </w:rPr>
      </w:pPr>
    </w:p>
    <w:p w14:paraId="384FC74A" w14:textId="77777777" w:rsidR="00915706" w:rsidRPr="00915706" w:rsidRDefault="00915706" w:rsidP="00915706">
      <w:pPr>
        <w:outlineLvl w:val="0"/>
        <w:rPr>
          <w:bCs/>
          <w:lang w:val="en-US"/>
        </w:rPr>
      </w:pPr>
    </w:p>
    <w:sectPr w:rsidR="00915706" w:rsidRPr="00915706" w:rsidSect="00926EBE">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61617" w14:textId="77777777" w:rsidR="004A16EA" w:rsidRDefault="004A16EA" w:rsidP="003C1ED1">
      <w:r>
        <w:separator/>
      </w:r>
    </w:p>
  </w:endnote>
  <w:endnote w:type="continuationSeparator" w:id="0">
    <w:p w14:paraId="2EA39978" w14:textId="77777777" w:rsidR="004A16EA" w:rsidRDefault="004A16EA" w:rsidP="003C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BC3CF" w14:textId="77777777" w:rsidR="009C345E" w:rsidRDefault="009C345E" w:rsidP="00062F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6E813" w14:textId="77777777" w:rsidR="009C345E" w:rsidRDefault="009C345E" w:rsidP="009C34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A2C9" w14:textId="77777777" w:rsidR="009C345E" w:rsidRDefault="009C345E" w:rsidP="00062F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4488">
      <w:rPr>
        <w:rStyle w:val="PageNumber"/>
        <w:noProof/>
      </w:rPr>
      <w:t>1</w:t>
    </w:r>
    <w:r>
      <w:rPr>
        <w:rStyle w:val="PageNumber"/>
      </w:rPr>
      <w:fldChar w:fldCharType="end"/>
    </w:r>
  </w:p>
  <w:p w14:paraId="1E29C699" w14:textId="77777777" w:rsidR="009C345E" w:rsidRDefault="009C345E" w:rsidP="009C345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99F1F" w14:textId="77777777" w:rsidR="004A16EA" w:rsidRDefault="004A16EA" w:rsidP="003C1ED1">
      <w:r>
        <w:separator/>
      </w:r>
    </w:p>
  </w:footnote>
  <w:footnote w:type="continuationSeparator" w:id="0">
    <w:p w14:paraId="28D39B56" w14:textId="77777777" w:rsidR="004A16EA" w:rsidRDefault="004A16EA" w:rsidP="003C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D10C" w14:textId="4E45F52A" w:rsidR="003C1ED1" w:rsidRDefault="003C1ED1" w:rsidP="00C745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D65"/>
    <w:multiLevelType w:val="hybridMultilevel"/>
    <w:tmpl w:val="1F16F49A"/>
    <w:lvl w:ilvl="0" w:tplc="625E1D62">
      <w:start w:val="1"/>
      <w:numFmt w:val="bullet"/>
      <w:lvlText w:val="•"/>
      <w:lvlJc w:val="left"/>
      <w:pPr>
        <w:tabs>
          <w:tab w:val="num" w:pos="720"/>
        </w:tabs>
        <w:ind w:left="720" w:hanging="360"/>
      </w:pPr>
      <w:rPr>
        <w:rFonts w:ascii="Arial" w:hAnsi="Arial" w:hint="default"/>
      </w:rPr>
    </w:lvl>
    <w:lvl w:ilvl="1" w:tplc="7A824FEA" w:tentative="1">
      <w:start w:val="1"/>
      <w:numFmt w:val="bullet"/>
      <w:lvlText w:val="•"/>
      <w:lvlJc w:val="left"/>
      <w:pPr>
        <w:tabs>
          <w:tab w:val="num" w:pos="1440"/>
        </w:tabs>
        <w:ind w:left="1440" w:hanging="360"/>
      </w:pPr>
      <w:rPr>
        <w:rFonts w:ascii="Arial" w:hAnsi="Arial" w:hint="default"/>
      </w:rPr>
    </w:lvl>
    <w:lvl w:ilvl="2" w:tplc="233C11B0" w:tentative="1">
      <w:start w:val="1"/>
      <w:numFmt w:val="bullet"/>
      <w:lvlText w:val="•"/>
      <w:lvlJc w:val="left"/>
      <w:pPr>
        <w:tabs>
          <w:tab w:val="num" w:pos="2160"/>
        </w:tabs>
        <w:ind w:left="2160" w:hanging="360"/>
      </w:pPr>
      <w:rPr>
        <w:rFonts w:ascii="Arial" w:hAnsi="Arial" w:hint="default"/>
      </w:rPr>
    </w:lvl>
    <w:lvl w:ilvl="3" w:tplc="E78A5390" w:tentative="1">
      <w:start w:val="1"/>
      <w:numFmt w:val="bullet"/>
      <w:lvlText w:val="•"/>
      <w:lvlJc w:val="left"/>
      <w:pPr>
        <w:tabs>
          <w:tab w:val="num" w:pos="2880"/>
        </w:tabs>
        <w:ind w:left="2880" w:hanging="360"/>
      </w:pPr>
      <w:rPr>
        <w:rFonts w:ascii="Arial" w:hAnsi="Arial" w:hint="default"/>
      </w:rPr>
    </w:lvl>
    <w:lvl w:ilvl="4" w:tplc="374CB20A" w:tentative="1">
      <w:start w:val="1"/>
      <w:numFmt w:val="bullet"/>
      <w:lvlText w:val="•"/>
      <w:lvlJc w:val="left"/>
      <w:pPr>
        <w:tabs>
          <w:tab w:val="num" w:pos="3600"/>
        </w:tabs>
        <w:ind w:left="3600" w:hanging="360"/>
      </w:pPr>
      <w:rPr>
        <w:rFonts w:ascii="Arial" w:hAnsi="Arial" w:hint="default"/>
      </w:rPr>
    </w:lvl>
    <w:lvl w:ilvl="5" w:tplc="E0387DB4" w:tentative="1">
      <w:start w:val="1"/>
      <w:numFmt w:val="bullet"/>
      <w:lvlText w:val="•"/>
      <w:lvlJc w:val="left"/>
      <w:pPr>
        <w:tabs>
          <w:tab w:val="num" w:pos="4320"/>
        </w:tabs>
        <w:ind w:left="4320" w:hanging="360"/>
      </w:pPr>
      <w:rPr>
        <w:rFonts w:ascii="Arial" w:hAnsi="Arial" w:hint="default"/>
      </w:rPr>
    </w:lvl>
    <w:lvl w:ilvl="6" w:tplc="070CCB24" w:tentative="1">
      <w:start w:val="1"/>
      <w:numFmt w:val="bullet"/>
      <w:lvlText w:val="•"/>
      <w:lvlJc w:val="left"/>
      <w:pPr>
        <w:tabs>
          <w:tab w:val="num" w:pos="5040"/>
        </w:tabs>
        <w:ind w:left="5040" w:hanging="360"/>
      </w:pPr>
      <w:rPr>
        <w:rFonts w:ascii="Arial" w:hAnsi="Arial" w:hint="default"/>
      </w:rPr>
    </w:lvl>
    <w:lvl w:ilvl="7" w:tplc="D9F2CC1A" w:tentative="1">
      <w:start w:val="1"/>
      <w:numFmt w:val="bullet"/>
      <w:lvlText w:val="•"/>
      <w:lvlJc w:val="left"/>
      <w:pPr>
        <w:tabs>
          <w:tab w:val="num" w:pos="5760"/>
        </w:tabs>
        <w:ind w:left="5760" w:hanging="360"/>
      </w:pPr>
      <w:rPr>
        <w:rFonts w:ascii="Arial" w:hAnsi="Arial" w:hint="default"/>
      </w:rPr>
    </w:lvl>
    <w:lvl w:ilvl="8" w:tplc="B3F096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B646BE"/>
    <w:multiLevelType w:val="hybridMultilevel"/>
    <w:tmpl w:val="8F8A0D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4C05BE4"/>
    <w:multiLevelType w:val="hybridMultilevel"/>
    <w:tmpl w:val="FE022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E65D3"/>
    <w:multiLevelType w:val="hybridMultilevel"/>
    <w:tmpl w:val="52E2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3721D"/>
    <w:multiLevelType w:val="hybridMultilevel"/>
    <w:tmpl w:val="3C54BC4E"/>
    <w:lvl w:ilvl="0" w:tplc="B1742AF8">
      <w:start w:val="1"/>
      <w:numFmt w:val="bullet"/>
      <w:lvlText w:val="•"/>
      <w:lvlJc w:val="left"/>
      <w:pPr>
        <w:tabs>
          <w:tab w:val="num" w:pos="720"/>
        </w:tabs>
        <w:ind w:left="720" w:hanging="360"/>
      </w:pPr>
      <w:rPr>
        <w:rFonts w:ascii="Arial" w:hAnsi="Arial" w:hint="default"/>
      </w:rPr>
    </w:lvl>
    <w:lvl w:ilvl="1" w:tplc="EA1AA2CC" w:tentative="1">
      <w:start w:val="1"/>
      <w:numFmt w:val="bullet"/>
      <w:lvlText w:val="•"/>
      <w:lvlJc w:val="left"/>
      <w:pPr>
        <w:tabs>
          <w:tab w:val="num" w:pos="1440"/>
        </w:tabs>
        <w:ind w:left="1440" w:hanging="360"/>
      </w:pPr>
      <w:rPr>
        <w:rFonts w:ascii="Arial" w:hAnsi="Arial" w:hint="default"/>
      </w:rPr>
    </w:lvl>
    <w:lvl w:ilvl="2" w:tplc="0FDE197E" w:tentative="1">
      <w:start w:val="1"/>
      <w:numFmt w:val="bullet"/>
      <w:lvlText w:val="•"/>
      <w:lvlJc w:val="left"/>
      <w:pPr>
        <w:tabs>
          <w:tab w:val="num" w:pos="2160"/>
        </w:tabs>
        <w:ind w:left="2160" w:hanging="360"/>
      </w:pPr>
      <w:rPr>
        <w:rFonts w:ascii="Arial" w:hAnsi="Arial" w:hint="default"/>
      </w:rPr>
    </w:lvl>
    <w:lvl w:ilvl="3" w:tplc="7E144CF0" w:tentative="1">
      <w:start w:val="1"/>
      <w:numFmt w:val="bullet"/>
      <w:lvlText w:val="•"/>
      <w:lvlJc w:val="left"/>
      <w:pPr>
        <w:tabs>
          <w:tab w:val="num" w:pos="2880"/>
        </w:tabs>
        <w:ind w:left="2880" w:hanging="360"/>
      </w:pPr>
      <w:rPr>
        <w:rFonts w:ascii="Arial" w:hAnsi="Arial" w:hint="default"/>
      </w:rPr>
    </w:lvl>
    <w:lvl w:ilvl="4" w:tplc="188049C6" w:tentative="1">
      <w:start w:val="1"/>
      <w:numFmt w:val="bullet"/>
      <w:lvlText w:val="•"/>
      <w:lvlJc w:val="left"/>
      <w:pPr>
        <w:tabs>
          <w:tab w:val="num" w:pos="3600"/>
        </w:tabs>
        <w:ind w:left="3600" w:hanging="360"/>
      </w:pPr>
      <w:rPr>
        <w:rFonts w:ascii="Arial" w:hAnsi="Arial" w:hint="default"/>
      </w:rPr>
    </w:lvl>
    <w:lvl w:ilvl="5" w:tplc="9F0ADA62" w:tentative="1">
      <w:start w:val="1"/>
      <w:numFmt w:val="bullet"/>
      <w:lvlText w:val="•"/>
      <w:lvlJc w:val="left"/>
      <w:pPr>
        <w:tabs>
          <w:tab w:val="num" w:pos="4320"/>
        </w:tabs>
        <w:ind w:left="4320" w:hanging="360"/>
      </w:pPr>
      <w:rPr>
        <w:rFonts w:ascii="Arial" w:hAnsi="Arial" w:hint="default"/>
      </w:rPr>
    </w:lvl>
    <w:lvl w:ilvl="6" w:tplc="8B3626C8" w:tentative="1">
      <w:start w:val="1"/>
      <w:numFmt w:val="bullet"/>
      <w:lvlText w:val="•"/>
      <w:lvlJc w:val="left"/>
      <w:pPr>
        <w:tabs>
          <w:tab w:val="num" w:pos="5040"/>
        </w:tabs>
        <w:ind w:left="5040" w:hanging="360"/>
      </w:pPr>
      <w:rPr>
        <w:rFonts w:ascii="Arial" w:hAnsi="Arial" w:hint="default"/>
      </w:rPr>
    </w:lvl>
    <w:lvl w:ilvl="7" w:tplc="0FA81C3A" w:tentative="1">
      <w:start w:val="1"/>
      <w:numFmt w:val="bullet"/>
      <w:lvlText w:val="•"/>
      <w:lvlJc w:val="left"/>
      <w:pPr>
        <w:tabs>
          <w:tab w:val="num" w:pos="5760"/>
        </w:tabs>
        <w:ind w:left="5760" w:hanging="360"/>
      </w:pPr>
      <w:rPr>
        <w:rFonts w:ascii="Arial" w:hAnsi="Arial" w:hint="default"/>
      </w:rPr>
    </w:lvl>
    <w:lvl w:ilvl="8" w:tplc="37DEBB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4D6F11"/>
    <w:multiLevelType w:val="hybridMultilevel"/>
    <w:tmpl w:val="33547D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B245F1"/>
    <w:multiLevelType w:val="hybridMultilevel"/>
    <w:tmpl w:val="0526C4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AD76DD1"/>
    <w:multiLevelType w:val="hybridMultilevel"/>
    <w:tmpl w:val="974E1546"/>
    <w:lvl w:ilvl="0" w:tplc="698EC7D2">
      <w:start w:val="1"/>
      <w:numFmt w:val="bullet"/>
      <w:lvlText w:val="•"/>
      <w:lvlJc w:val="left"/>
      <w:pPr>
        <w:tabs>
          <w:tab w:val="num" w:pos="720"/>
        </w:tabs>
        <w:ind w:left="720" w:hanging="360"/>
      </w:pPr>
      <w:rPr>
        <w:rFonts w:ascii="Arial" w:hAnsi="Arial" w:hint="default"/>
      </w:rPr>
    </w:lvl>
    <w:lvl w:ilvl="1" w:tplc="7F926EF8" w:tentative="1">
      <w:start w:val="1"/>
      <w:numFmt w:val="bullet"/>
      <w:lvlText w:val="•"/>
      <w:lvlJc w:val="left"/>
      <w:pPr>
        <w:tabs>
          <w:tab w:val="num" w:pos="1440"/>
        </w:tabs>
        <w:ind w:left="1440" w:hanging="360"/>
      </w:pPr>
      <w:rPr>
        <w:rFonts w:ascii="Arial" w:hAnsi="Arial" w:hint="default"/>
      </w:rPr>
    </w:lvl>
    <w:lvl w:ilvl="2" w:tplc="95DA7568" w:tentative="1">
      <w:start w:val="1"/>
      <w:numFmt w:val="bullet"/>
      <w:lvlText w:val="•"/>
      <w:lvlJc w:val="left"/>
      <w:pPr>
        <w:tabs>
          <w:tab w:val="num" w:pos="2160"/>
        </w:tabs>
        <w:ind w:left="2160" w:hanging="360"/>
      </w:pPr>
      <w:rPr>
        <w:rFonts w:ascii="Arial" w:hAnsi="Arial" w:hint="default"/>
      </w:rPr>
    </w:lvl>
    <w:lvl w:ilvl="3" w:tplc="858A708E" w:tentative="1">
      <w:start w:val="1"/>
      <w:numFmt w:val="bullet"/>
      <w:lvlText w:val="•"/>
      <w:lvlJc w:val="left"/>
      <w:pPr>
        <w:tabs>
          <w:tab w:val="num" w:pos="2880"/>
        </w:tabs>
        <w:ind w:left="2880" w:hanging="360"/>
      </w:pPr>
      <w:rPr>
        <w:rFonts w:ascii="Arial" w:hAnsi="Arial" w:hint="default"/>
      </w:rPr>
    </w:lvl>
    <w:lvl w:ilvl="4" w:tplc="8C74C0D8" w:tentative="1">
      <w:start w:val="1"/>
      <w:numFmt w:val="bullet"/>
      <w:lvlText w:val="•"/>
      <w:lvlJc w:val="left"/>
      <w:pPr>
        <w:tabs>
          <w:tab w:val="num" w:pos="3600"/>
        </w:tabs>
        <w:ind w:left="3600" w:hanging="360"/>
      </w:pPr>
      <w:rPr>
        <w:rFonts w:ascii="Arial" w:hAnsi="Arial" w:hint="default"/>
      </w:rPr>
    </w:lvl>
    <w:lvl w:ilvl="5" w:tplc="AFF839FA" w:tentative="1">
      <w:start w:val="1"/>
      <w:numFmt w:val="bullet"/>
      <w:lvlText w:val="•"/>
      <w:lvlJc w:val="left"/>
      <w:pPr>
        <w:tabs>
          <w:tab w:val="num" w:pos="4320"/>
        </w:tabs>
        <w:ind w:left="4320" w:hanging="360"/>
      </w:pPr>
      <w:rPr>
        <w:rFonts w:ascii="Arial" w:hAnsi="Arial" w:hint="default"/>
      </w:rPr>
    </w:lvl>
    <w:lvl w:ilvl="6" w:tplc="ACD2703A" w:tentative="1">
      <w:start w:val="1"/>
      <w:numFmt w:val="bullet"/>
      <w:lvlText w:val="•"/>
      <w:lvlJc w:val="left"/>
      <w:pPr>
        <w:tabs>
          <w:tab w:val="num" w:pos="5040"/>
        </w:tabs>
        <w:ind w:left="5040" w:hanging="360"/>
      </w:pPr>
      <w:rPr>
        <w:rFonts w:ascii="Arial" w:hAnsi="Arial" w:hint="default"/>
      </w:rPr>
    </w:lvl>
    <w:lvl w:ilvl="7" w:tplc="E7B23794" w:tentative="1">
      <w:start w:val="1"/>
      <w:numFmt w:val="bullet"/>
      <w:lvlText w:val="•"/>
      <w:lvlJc w:val="left"/>
      <w:pPr>
        <w:tabs>
          <w:tab w:val="num" w:pos="5760"/>
        </w:tabs>
        <w:ind w:left="5760" w:hanging="360"/>
      </w:pPr>
      <w:rPr>
        <w:rFonts w:ascii="Arial" w:hAnsi="Arial" w:hint="default"/>
      </w:rPr>
    </w:lvl>
    <w:lvl w:ilvl="8" w:tplc="73DEA2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EA34D4"/>
    <w:multiLevelType w:val="hybridMultilevel"/>
    <w:tmpl w:val="6B9A5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4A075B"/>
    <w:multiLevelType w:val="hybridMultilevel"/>
    <w:tmpl w:val="CAE8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F79E3"/>
    <w:multiLevelType w:val="hybridMultilevel"/>
    <w:tmpl w:val="931C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10376"/>
    <w:multiLevelType w:val="hybridMultilevel"/>
    <w:tmpl w:val="410617AE"/>
    <w:lvl w:ilvl="0" w:tplc="8826A308">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E1907FA"/>
    <w:multiLevelType w:val="hybridMultilevel"/>
    <w:tmpl w:val="8234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770EE"/>
    <w:multiLevelType w:val="hybridMultilevel"/>
    <w:tmpl w:val="4592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36939"/>
    <w:multiLevelType w:val="hybridMultilevel"/>
    <w:tmpl w:val="DB42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B42B03"/>
    <w:multiLevelType w:val="hybridMultilevel"/>
    <w:tmpl w:val="9FCA8B28"/>
    <w:lvl w:ilvl="0" w:tplc="E054AE36">
      <w:start w:val="1"/>
      <w:numFmt w:val="bullet"/>
      <w:lvlText w:val="•"/>
      <w:lvlJc w:val="left"/>
      <w:pPr>
        <w:tabs>
          <w:tab w:val="num" w:pos="720"/>
        </w:tabs>
        <w:ind w:left="720" w:hanging="360"/>
      </w:pPr>
      <w:rPr>
        <w:rFonts w:ascii="Arial" w:hAnsi="Arial" w:hint="default"/>
      </w:rPr>
    </w:lvl>
    <w:lvl w:ilvl="1" w:tplc="C90420CE" w:tentative="1">
      <w:start w:val="1"/>
      <w:numFmt w:val="bullet"/>
      <w:lvlText w:val="•"/>
      <w:lvlJc w:val="left"/>
      <w:pPr>
        <w:tabs>
          <w:tab w:val="num" w:pos="1440"/>
        </w:tabs>
        <w:ind w:left="1440" w:hanging="360"/>
      </w:pPr>
      <w:rPr>
        <w:rFonts w:ascii="Arial" w:hAnsi="Arial" w:hint="default"/>
      </w:rPr>
    </w:lvl>
    <w:lvl w:ilvl="2" w:tplc="E0969A08" w:tentative="1">
      <w:start w:val="1"/>
      <w:numFmt w:val="bullet"/>
      <w:lvlText w:val="•"/>
      <w:lvlJc w:val="left"/>
      <w:pPr>
        <w:tabs>
          <w:tab w:val="num" w:pos="2160"/>
        </w:tabs>
        <w:ind w:left="2160" w:hanging="360"/>
      </w:pPr>
      <w:rPr>
        <w:rFonts w:ascii="Arial" w:hAnsi="Arial" w:hint="default"/>
      </w:rPr>
    </w:lvl>
    <w:lvl w:ilvl="3" w:tplc="C5469BDA" w:tentative="1">
      <w:start w:val="1"/>
      <w:numFmt w:val="bullet"/>
      <w:lvlText w:val="•"/>
      <w:lvlJc w:val="left"/>
      <w:pPr>
        <w:tabs>
          <w:tab w:val="num" w:pos="2880"/>
        </w:tabs>
        <w:ind w:left="2880" w:hanging="360"/>
      </w:pPr>
      <w:rPr>
        <w:rFonts w:ascii="Arial" w:hAnsi="Arial" w:hint="default"/>
      </w:rPr>
    </w:lvl>
    <w:lvl w:ilvl="4" w:tplc="894CC15E" w:tentative="1">
      <w:start w:val="1"/>
      <w:numFmt w:val="bullet"/>
      <w:lvlText w:val="•"/>
      <w:lvlJc w:val="left"/>
      <w:pPr>
        <w:tabs>
          <w:tab w:val="num" w:pos="3600"/>
        </w:tabs>
        <w:ind w:left="3600" w:hanging="360"/>
      </w:pPr>
      <w:rPr>
        <w:rFonts w:ascii="Arial" w:hAnsi="Arial" w:hint="default"/>
      </w:rPr>
    </w:lvl>
    <w:lvl w:ilvl="5" w:tplc="BE00BF78" w:tentative="1">
      <w:start w:val="1"/>
      <w:numFmt w:val="bullet"/>
      <w:lvlText w:val="•"/>
      <w:lvlJc w:val="left"/>
      <w:pPr>
        <w:tabs>
          <w:tab w:val="num" w:pos="4320"/>
        </w:tabs>
        <w:ind w:left="4320" w:hanging="360"/>
      </w:pPr>
      <w:rPr>
        <w:rFonts w:ascii="Arial" w:hAnsi="Arial" w:hint="default"/>
      </w:rPr>
    </w:lvl>
    <w:lvl w:ilvl="6" w:tplc="E60ACD90" w:tentative="1">
      <w:start w:val="1"/>
      <w:numFmt w:val="bullet"/>
      <w:lvlText w:val="•"/>
      <w:lvlJc w:val="left"/>
      <w:pPr>
        <w:tabs>
          <w:tab w:val="num" w:pos="5040"/>
        </w:tabs>
        <w:ind w:left="5040" w:hanging="360"/>
      </w:pPr>
      <w:rPr>
        <w:rFonts w:ascii="Arial" w:hAnsi="Arial" w:hint="default"/>
      </w:rPr>
    </w:lvl>
    <w:lvl w:ilvl="7" w:tplc="9F6687E8" w:tentative="1">
      <w:start w:val="1"/>
      <w:numFmt w:val="bullet"/>
      <w:lvlText w:val="•"/>
      <w:lvlJc w:val="left"/>
      <w:pPr>
        <w:tabs>
          <w:tab w:val="num" w:pos="5760"/>
        </w:tabs>
        <w:ind w:left="5760" w:hanging="360"/>
      </w:pPr>
      <w:rPr>
        <w:rFonts w:ascii="Arial" w:hAnsi="Arial" w:hint="default"/>
      </w:rPr>
    </w:lvl>
    <w:lvl w:ilvl="8" w:tplc="39282D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542DBC"/>
    <w:multiLevelType w:val="hybridMultilevel"/>
    <w:tmpl w:val="7A5E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1"/>
  </w:num>
  <w:num w:numId="5">
    <w:abstractNumId w:val="8"/>
  </w:num>
  <w:num w:numId="6">
    <w:abstractNumId w:val="14"/>
  </w:num>
  <w:num w:numId="7">
    <w:abstractNumId w:val="1"/>
  </w:num>
  <w:num w:numId="8">
    <w:abstractNumId w:val="6"/>
  </w:num>
  <w:num w:numId="9">
    <w:abstractNumId w:val="5"/>
  </w:num>
  <w:num w:numId="10">
    <w:abstractNumId w:val="15"/>
  </w:num>
  <w:num w:numId="11">
    <w:abstractNumId w:val="4"/>
  </w:num>
  <w:num w:numId="12">
    <w:abstractNumId w:val="7"/>
  </w:num>
  <w:num w:numId="13">
    <w:abstractNumId w:val="13"/>
  </w:num>
  <w:num w:numId="14">
    <w:abstractNumId w:val="0"/>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7B"/>
    <w:rsid w:val="000011AA"/>
    <w:rsid w:val="00002DAC"/>
    <w:rsid w:val="00003B58"/>
    <w:rsid w:val="00005C0D"/>
    <w:rsid w:val="000158EC"/>
    <w:rsid w:val="000302C9"/>
    <w:rsid w:val="00036FED"/>
    <w:rsid w:val="0005752F"/>
    <w:rsid w:val="000637B0"/>
    <w:rsid w:val="0006686A"/>
    <w:rsid w:val="00067C4B"/>
    <w:rsid w:val="0007222E"/>
    <w:rsid w:val="000A54F8"/>
    <w:rsid w:val="000A68A7"/>
    <w:rsid w:val="000B7622"/>
    <w:rsid w:val="000C7E54"/>
    <w:rsid w:val="000D4488"/>
    <w:rsid w:val="000E63FF"/>
    <w:rsid w:val="0010769D"/>
    <w:rsid w:val="00111F9E"/>
    <w:rsid w:val="001122BC"/>
    <w:rsid w:val="0012441D"/>
    <w:rsid w:val="0012618C"/>
    <w:rsid w:val="00126F1E"/>
    <w:rsid w:val="001509FA"/>
    <w:rsid w:val="00152724"/>
    <w:rsid w:val="001550FA"/>
    <w:rsid w:val="00155802"/>
    <w:rsid w:val="001559D8"/>
    <w:rsid w:val="001923ED"/>
    <w:rsid w:val="00193522"/>
    <w:rsid w:val="00195F17"/>
    <w:rsid w:val="00196DE7"/>
    <w:rsid w:val="001A0405"/>
    <w:rsid w:val="001A723F"/>
    <w:rsid w:val="001B68C5"/>
    <w:rsid w:val="001D6B44"/>
    <w:rsid w:val="001E1931"/>
    <w:rsid w:val="001E3179"/>
    <w:rsid w:val="00217B00"/>
    <w:rsid w:val="00234663"/>
    <w:rsid w:val="002352A8"/>
    <w:rsid w:val="002376A4"/>
    <w:rsid w:val="00244C8B"/>
    <w:rsid w:val="0025604C"/>
    <w:rsid w:val="0026273A"/>
    <w:rsid w:val="00265EB6"/>
    <w:rsid w:val="00270ED0"/>
    <w:rsid w:val="00273F8C"/>
    <w:rsid w:val="0027598A"/>
    <w:rsid w:val="00286BD0"/>
    <w:rsid w:val="00296A94"/>
    <w:rsid w:val="002C78F9"/>
    <w:rsid w:val="002E6689"/>
    <w:rsid w:val="002F420D"/>
    <w:rsid w:val="00305C07"/>
    <w:rsid w:val="0031562C"/>
    <w:rsid w:val="00322361"/>
    <w:rsid w:val="00325C36"/>
    <w:rsid w:val="00327404"/>
    <w:rsid w:val="00336402"/>
    <w:rsid w:val="003414AA"/>
    <w:rsid w:val="00345429"/>
    <w:rsid w:val="003505E2"/>
    <w:rsid w:val="00355BFB"/>
    <w:rsid w:val="00377FB7"/>
    <w:rsid w:val="00387DAD"/>
    <w:rsid w:val="003C1ED1"/>
    <w:rsid w:val="003C4476"/>
    <w:rsid w:val="003C50F7"/>
    <w:rsid w:val="003D4CFC"/>
    <w:rsid w:val="003E64D3"/>
    <w:rsid w:val="003F3B05"/>
    <w:rsid w:val="003F51E9"/>
    <w:rsid w:val="0040468F"/>
    <w:rsid w:val="00411BAD"/>
    <w:rsid w:val="00414C2C"/>
    <w:rsid w:val="00417200"/>
    <w:rsid w:val="0045172B"/>
    <w:rsid w:val="00467DC7"/>
    <w:rsid w:val="00474B8D"/>
    <w:rsid w:val="004756B6"/>
    <w:rsid w:val="00475CEB"/>
    <w:rsid w:val="004805EF"/>
    <w:rsid w:val="00487EAA"/>
    <w:rsid w:val="0049171B"/>
    <w:rsid w:val="00494989"/>
    <w:rsid w:val="004A16EA"/>
    <w:rsid w:val="004A58D6"/>
    <w:rsid w:val="004C7F77"/>
    <w:rsid w:val="004D22A4"/>
    <w:rsid w:val="004D2608"/>
    <w:rsid w:val="004E422D"/>
    <w:rsid w:val="004E44FF"/>
    <w:rsid w:val="004F1FB7"/>
    <w:rsid w:val="004F6D8C"/>
    <w:rsid w:val="00504A24"/>
    <w:rsid w:val="00512BC9"/>
    <w:rsid w:val="00543622"/>
    <w:rsid w:val="00551BA9"/>
    <w:rsid w:val="00554870"/>
    <w:rsid w:val="00556332"/>
    <w:rsid w:val="0056676F"/>
    <w:rsid w:val="00566C08"/>
    <w:rsid w:val="005709E0"/>
    <w:rsid w:val="0059138D"/>
    <w:rsid w:val="005931B3"/>
    <w:rsid w:val="00593A28"/>
    <w:rsid w:val="005B1A5C"/>
    <w:rsid w:val="005B1BC1"/>
    <w:rsid w:val="005B5F9E"/>
    <w:rsid w:val="005C1B29"/>
    <w:rsid w:val="005E1891"/>
    <w:rsid w:val="005E4535"/>
    <w:rsid w:val="005F2A26"/>
    <w:rsid w:val="0061443C"/>
    <w:rsid w:val="00622E1F"/>
    <w:rsid w:val="006236C6"/>
    <w:rsid w:val="00623B43"/>
    <w:rsid w:val="0063589F"/>
    <w:rsid w:val="00641F7B"/>
    <w:rsid w:val="006437FD"/>
    <w:rsid w:val="00664FA6"/>
    <w:rsid w:val="00684827"/>
    <w:rsid w:val="0068501F"/>
    <w:rsid w:val="006865FB"/>
    <w:rsid w:val="00687BEE"/>
    <w:rsid w:val="00693C78"/>
    <w:rsid w:val="006A04C3"/>
    <w:rsid w:val="006A76F4"/>
    <w:rsid w:val="006B0638"/>
    <w:rsid w:val="006C6807"/>
    <w:rsid w:val="006D3B30"/>
    <w:rsid w:val="006D5C12"/>
    <w:rsid w:val="006E07A7"/>
    <w:rsid w:val="006E39E1"/>
    <w:rsid w:val="006E5E5D"/>
    <w:rsid w:val="006F007E"/>
    <w:rsid w:val="006F5152"/>
    <w:rsid w:val="007035B4"/>
    <w:rsid w:val="00715BD1"/>
    <w:rsid w:val="00734179"/>
    <w:rsid w:val="00736D92"/>
    <w:rsid w:val="00761761"/>
    <w:rsid w:val="00766C94"/>
    <w:rsid w:val="00785CF9"/>
    <w:rsid w:val="007908A2"/>
    <w:rsid w:val="00791E3F"/>
    <w:rsid w:val="007A324B"/>
    <w:rsid w:val="007A5432"/>
    <w:rsid w:val="007A7F7C"/>
    <w:rsid w:val="007C09D1"/>
    <w:rsid w:val="007C7DB4"/>
    <w:rsid w:val="007E016C"/>
    <w:rsid w:val="007E66CD"/>
    <w:rsid w:val="007E6F23"/>
    <w:rsid w:val="007F7CC0"/>
    <w:rsid w:val="007F7CCE"/>
    <w:rsid w:val="00805B42"/>
    <w:rsid w:val="00812C75"/>
    <w:rsid w:val="008169A5"/>
    <w:rsid w:val="00824D06"/>
    <w:rsid w:val="00832576"/>
    <w:rsid w:val="00837F24"/>
    <w:rsid w:val="00846163"/>
    <w:rsid w:val="00847C37"/>
    <w:rsid w:val="00861992"/>
    <w:rsid w:val="00861E93"/>
    <w:rsid w:val="0086767A"/>
    <w:rsid w:val="00882A68"/>
    <w:rsid w:val="00893CBA"/>
    <w:rsid w:val="00894A7B"/>
    <w:rsid w:val="00896D19"/>
    <w:rsid w:val="008973AA"/>
    <w:rsid w:val="008A4AD1"/>
    <w:rsid w:val="008A65F1"/>
    <w:rsid w:val="008B5B84"/>
    <w:rsid w:val="008B5E6F"/>
    <w:rsid w:val="008C585B"/>
    <w:rsid w:val="008D3D40"/>
    <w:rsid w:val="008E43D7"/>
    <w:rsid w:val="008F5507"/>
    <w:rsid w:val="00910957"/>
    <w:rsid w:val="00915706"/>
    <w:rsid w:val="00926EBE"/>
    <w:rsid w:val="009571F2"/>
    <w:rsid w:val="00961593"/>
    <w:rsid w:val="00962F20"/>
    <w:rsid w:val="0096411E"/>
    <w:rsid w:val="00973258"/>
    <w:rsid w:val="00973A6D"/>
    <w:rsid w:val="00975408"/>
    <w:rsid w:val="00987CE3"/>
    <w:rsid w:val="009948CA"/>
    <w:rsid w:val="009949A5"/>
    <w:rsid w:val="0099594C"/>
    <w:rsid w:val="00997BF1"/>
    <w:rsid w:val="009B15F2"/>
    <w:rsid w:val="009B6D19"/>
    <w:rsid w:val="009C345E"/>
    <w:rsid w:val="009D296C"/>
    <w:rsid w:val="009D5242"/>
    <w:rsid w:val="009D6E45"/>
    <w:rsid w:val="00A02F02"/>
    <w:rsid w:val="00A03699"/>
    <w:rsid w:val="00A3124A"/>
    <w:rsid w:val="00A3684D"/>
    <w:rsid w:val="00A427AC"/>
    <w:rsid w:val="00A5213B"/>
    <w:rsid w:val="00A71A26"/>
    <w:rsid w:val="00A73CBE"/>
    <w:rsid w:val="00A803F7"/>
    <w:rsid w:val="00A823D2"/>
    <w:rsid w:val="00A82B93"/>
    <w:rsid w:val="00A902CB"/>
    <w:rsid w:val="00A96A80"/>
    <w:rsid w:val="00A96C3D"/>
    <w:rsid w:val="00AA5A1A"/>
    <w:rsid w:val="00AB7601"/>
    <w:rsid w:val="00AD2176"/>
    <w:rsid w:val="00AD29E9"/>
    <w:rsid w:val="00AD6188"/>
    <w:rsid w:val="00AE1F7A"/>
    <w:rsid w:val="00AE6BB5"/>
    <w:rsid w:val="00AF5867"/>
    <w:rsid w:val="00AF69FD"/>
    <w:rsid w:val="00B01E46"/>
    <w:rsid w:val="00B0616D"/>
    <w:rsid w:val="00B1254C"/>
    <w:rsid w:val="00B139DC"/>
    <w:rsid w:val="00B278FA"/>
    <w:rsid w:val="00B41A23"/>
    <w:rsid w:val="00B44576"/>
    <w:rsid w:val="00B5347B"/>
    <w:rsid w:val="00B6641C"/>
    <w:rsid w:val="00B672EF"/>
    <w:rsid w:val="00B71FE0"/>
    <w:rsid w:val="00B77931"/>
    <w:rsid w:val="00BB397C"/>
    <w:rsid w:val="00BB4A0F"/>
    <w:rsid w:val="00BC2F69"/>
    <w:rsid w:val="00BD762D"/>
    <w:rsid w:val="00BE2EF8"/>
    <w:rsid w:val="00BE61AC"/>
    <w:rsid w:val="00BF52DA"/>
    <w:rsid w:val="00C10AB7"/>
    <w:rsid w:val="00C25AF3"/>
    <w:rsid w:val="00C27207"/>
    <w:rsid w:val="00C40099"/>
    <w:rsid w:val="00C4048D"/>
    <w:rsid w:val="00C5604A"/>
    <w:rsid w:val="00C74507"/>
    <w:rsid w:val="00C76553"/>
    <w:rsid w:val="00C92011"/>
    <w:rsid w:val="00C96171"/>
    <w:rsid w:val="00C9758B"/>
    <w:rsid w:val="00C97FE7"/>
    <w:rsid w:val="00CA2111"/>
    <w:rsid w:val="00CA473C"/>
    <w:rsid w:val="00CA4F8A"/>
    <w:rsid w:val="00CB0157"/>
    <w:rsid w:val="00CB148C"/>
    <w:rsid w:val="00CC2027"/>
    <w:rsid w:val="00CC4D5F"/>
    <w:rsid w:val="00CD2260"/>
    <w:rsid w:val="00CE16E4"/>
    <w:rsid w:val="00CF1DE9"/>
    <w:rsid w:val="00D03B0D"/>
    <w:rsid w:val="00D0416F"/>
    <w:rsid w:val="00D053F9"/>
    <w:rsid w:val="00D06604"/>
    <w:rsid w:val="00D127BA"/>
    <w:rsid w:val="00D15D71"/>
    <w:rsid w:val="00D277A5"/>
    <w:rsid w:val="00D31180"/>
    <w:rsid w:val="00D423D8"/>
    <w:rsid w:val="00D42B11"/>
    <w:rsid w:val="00D43886"/>
    <w:rsid w:val="00D46F15"/>
    <w:rsid w:val="00D6612F"/>
    <w:rsid w:val="00D66809"/>
    <w:rsid w:val="00D671E5"/>
    <w:rsid w:val="00D72619"/>
    <w:rsid w:val="00D7315E"/>
    <w:rsid w:val="00D93430"/>
    <w:rsid w:val="00DA288B"/>
    <w:rsid w:val="00DA352A"/>
    <w:rsid w:val="00DA5A4A"/>
    <w:rsid w:val="00DB14C5"/>
    <w:rsid w:val="00DB3BBB"/>
    <w:rsid w:val="00DB71DB"/>
    <w:rsid w:val="00DC06C2"/>
    <w:rsid w:val="00DD0BB7"/>
    <w:rsid w:val="00DD5726"/>
    <w:rsid w:val="00DE2955"/>
    <w:rsid w:val="00DE3DCF"/>
    <w:rsid w:val="00DE5F0D"/>
    <w:rsid w:val="00DF1B87"/>
    <w:rsid w:val="00DF3F5F"/>
    <w:rsid w:val="00E00DDE"/>
    <w:rsid w:val="00E12E2E"/>
    <w:rsid w:val="00E26953"/>
    <w:rsid w:val="00E314E6"/>
    <w:rsid w:val="00E46D0E"/>
    <w:rsid w:val="00E62BA2"/>
    <w:rsid w:val="00EC6299"/>
    <w:rsid w:val="00ED02D3"/>
    <w:rsid w:val="00EE573D"/>
    <w:rsid w:val="00EF656B"/>
    <w:rsid w:val="00EF6F83"/>
    <w:rsid w:val="00F00134"/>
    <w:rsid w:val="00F1592E"/>
    <w:rsid w:val="00F325AF"/>
    <w:rsid w:val="00F340D5"/>
    <w:rsid w:val="00F42155"/>
    <w:rsid w:val="00F47E15"/>
    <w:rsid w:val="00F7328F"/>
    <w:rsid w:val="00F73BEA"/>
    <w:rsid w:val="00F81514"/>
    <w:rsid w:val="00F934BD"/>
    <w:rsid w:val="00F93F48"/>
    <w:rsid w:val="00F94152"/>
    <w:rsid w:val="00F95A6F"/>
    <w:rsid w:val="00FA0559"/>
    <w:rsid w:val="00FA5182"/>
    <w:rsid w:val="00FB24FD"/>
    <w:rsid w:val="00FD273C"/>
    <w:rsid w:val="00FD7C06"/>
    <w:rsid w:val="00FE74EF"/>
    <w:rsid w:val="00FF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1E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FD"/>
    <w:pPr>
      <w:ind w:left="720"/>
      <w:contextualSpacing/>
    </w:pPr>
  </w:style>
  <w:style w:type="character" w:styleId="CommentReference">
    <w:name w:val="annotation reference"/>
    <w:basedOn w:val="DefaultParagraphFont"/>
    <w:uiPriority w:val="99"/>
    <w:semiHidden/>
    <w:unhideWhenUsed/>
    <w:rsid w:val="003414AA"/>
    <w:rPr>
      <w:sz w:val="18"/>
      <w:szCs w:val="18"/>
    </w:rPr>
  </w:style>
  <w:style w:type="paragraph" w:styleId="CommentText">
    <w:name w:val="annotation text"/>
    <w:basedOn w:val="Normal"/>
    <w:link w:val="CommentTextChar"/>
    <w:uiPriority w:val="99"/>
    <w:unhideWhenUsed/>
    <w:rsid w:val="003414AA"/>
  </w:style>
  <w:style w:type="character" w:customStyle="1" w:styleId="CommentTextChar">
    <w:name w:val="Comment Text Char"/>
    <w:basedOn w:val="DefaultParagraphFont"/>
    <w:link w:val="CommentText"/>
    <w:uiPriority w:val="99"/>
    <w:rsid w:val="003414AA"/>
  </w:style>
  <w:style w:type="paragraph" w:styleId="CommentSubject">
    <w:name w:val="annotation subject"/>
    <w:basedOn w:val="CommentText"/>
    <w:next w:val="CommentText"/>
    <w:link w:val="CommentSubjectChar"/>
    <w:uiPriority w:val="99"/>
    <w:semiHidden/>
    <w:unhideWhenUsed/>
    <w:rsid w:val="003414AA"/>
    <w:rPr>
      <w:b/>
      <w:bCs/>
      <w:sz w:val="20"/>
      <w:szCs w:val="20"/>
    </w:rPr>
  </w:style>
  <w:style w:type="character" w:customStyle="1" w:styleId="CommentSubjectChar">
    <w:name w:val="Comment Subject Char"/>
    <w:basedOn w:val="CommentTextChar"/>
    <w:link w:val="CommentSubject"/>
    <w:uiPriority w:val="99"/>
    <w:semiHidden/>
    <w:rsid w:val="003414AA"/>
    <w:rPr>
      <w:b/>
      <w:bCs/>
      <w:sz w:val="20"/>
      <w:szCs w:val="20"/>
    </w:rPr>
  </w:style>
  <w:style w:type="paragraph" w:styleId="BalloonText">
    <w:name w:val="Balloon Text"/>
    <w:basedOn w:val="Normal"/>
    <w:link w:val="BalloonTextChar"/>
    <w:uiPriority w:val="99"/>
    <w:semiHidden/>
    <w:unhideWhenUsed/>
    <w:rsid w:val="003414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14AA"/>
    <w:rPr>
      <w:rFonts w:ascii="Times New Roman" w:hAnsi="Times New Roman" w:cs="Times New Roman"/>
      <w:sz w:val="18"/>
      <w:szCs w:val="18"/>
    </w:rPr>
  </w:style>
  <w:style w:type="paragraph" w:styleId="Header">
    <w:name w:val="header"/>
    <w:basedOn w:val="Normal"/>
    <w:link w:val="HeaderChar"/>
    <w:uiPriority w:val="99"/>
    <w:unhideWhenUsed/>
    <w:rsid w:val="003C1ED1"/>
    <w:pPr>
      <w:tabs>
        <w:tab w:val="center" w:pos="4536"/>
        <w:tab w:val="right" w:pos="9072"/>
      </w:tabs>
    </w:pPr>
  </w:style>
  <w:style w:type="character" w:customStyle="1" w:styleId="HeaderChar">
    <w:name w:val="Header Char"/>
    <w:basedOn w:val="DefaultParagraphFont"/>
    <w:link w:val="Header"/>
    <w:uiPriority w:val="99"/>
    <w:rsid w:val="003C1ED1"/>
  </w:style>
  <w:style w:type="paragraph" w:styleId="Footer">
    <w:name w:val="footer"/>
    <w:basedOn w:val="Normal"/>
    <w:link w:val="FooterChar"/>
    <w:uiPriority w:val="99"/>
    <w:unhideWhenUsed/>
    <w:rsid w:val="003C1ED1"/>
    <w:pPr>
      <w:tabs>
        <w:tab w:val="center" w:pos="4536"/>
        <w:tab w:val="right" w:pos="9072"/>
      </w:tabs>
    </w:pPr>
  </w:style>
  <w:style w:type="character" w:customStyle="1" w:styleId="FooterChar">
    <w:name w:val="Footer Char"/>
    <w:basedOn w:val="DefaultParagraphFont"/>
    <w:link w:val="Footer"/>
    <w:uiPriority w:val="99"/>
    <w:rsid w:val="003C1ED1"/>
  </w:style>
  <w:style w:type="character" w:styleId="PageNumber">
    <w:name w:val="page number"/>
    <w:basedOn w:val="DefaultParagraphFont"/>
    <w:uiPriority w:val="99"/>
    <w:semiHidden/>
    <w:unhideWhenUsed/>
    <w:rsid w:val="009C345E"/>
  </w:style>
  <w:style w:type="paragraph" w:styleId="NormalWeb">
    <w:name w:val="Normal (Web)"/>
    <w:basedOn w:val="Normal"/>
    <w:uiPriority w:val="99"/>
    <w:semiHidden/>
    <w:unhideWhenUsed/>
    <w:rsid w:val="004A58D6"/>
    <w:pPr>
      <w:spacing w:before="100" w:beforeAutospacing="1" w:after="100" w:afterAutospacing="1"/>
    </w:pPr>
    <w:rPr>
      <w:rFonts w:ascii="Times New Roman" w:eastAsia="Times New Roman" w:hAnsi="Times New Roman" w:cs="Times New Roman"/>
      <w:lang w:val="sv-SE"/>
    </w:rPr>
  </w:style>
  <w:style w:type="table" w:styleId="TableGrid">
    <w:name w:val="Table Grid"/>
    <w:basedOn w:val="TableNormal"/>
    <w:uiPriority w:val="39"/>
    <w:rsid w:val="0025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609">
      <w:bodyDiv w:val="1"/>
      <w:marLeft w:val="0"/>
      <w:marRight w:val="0"/>
      <w:marTop w:val="0"/>
      <w:marBottom w:val="0"/>
      <w:divBdr>
        <w:top w:val="none" w:sz="0" w:space="0" w:color="auto"/>
        <w:left w:val="none" w:sz="0" w:space="0" w:color="auto"/>
        <w:bottom w:val="none" w:sz="0" w:space="0" w:color="auto"/>
        <w:right w:val="none" w:sz="0" w:space="0" w:color="auto"/>
      </w:divBdr>
    </w:div>
    <w:div w:id="30036231">
      <w:bodyDiv w:val="1"/>
      <w:marLeft w:val="0"/>
      <w:marRight w:val="0"/>
      <w:marTop w:val="0"/>
      <w:marBottom w:val="0"/>
      <w:divBdr>
        <w:top w:val="none" w:sz="0" w:space="0" w:color="auto"/>
        <w:left w:val="none" w:sz="0" w:space="0" w:color="auto"/>
        <w:bottom w:val="none" w:sz="0" w:space="0" w:color="auto"/>
        <w:right w:val="none" w:sz="0" w:space="0" w:color="auto"/>
      </w:divBdr>
    </w:div>
    <w:div w:id="143401944">
      <w:bodyDiv w:val="1"/>
      <w:marLeft w:val="0"/>
      <w:marRight w:val="0"/>
      <w:marTop w:val="0"/>
      <w:marBottom w:val="0"/>
      <w:divBdr>
        <w:top w:val="none" w:sz="0" w:space="0" w:color="auto"/>
        <w:left w:val="none" w:sz="0" w:space="0" w:color="auto"/>
        <w:bottom w:val="none" w:sz="0" w:space="0" w:color="auto"/>
        <w:right w:val="none" w:sz="0" w:space="0" w:color="auto"/>
      </w:divBdr>
    </w:div>
    <w:div w:id="504318827">
      <w:bodyDiv w:val="1"/>
      <w:marLeft w:val="0"/>
      <w:marRight w:val="0"/>
      <w:marTop w:val="0"/>
      <w:marBottom w:val="0"/>
      <w:divBdr>
        <w:top w:val="none" w:sz="0" w:space="0" w:color="auto"/>
        <w:left w:val="none" w:sz="0" w:space="0" w:color="auto"/>
        <w:bottom w:val="none" w:sz="0" w:space="0" w:color="auto"/>
        <w:right w:val="none" w:sz="0" w:space="0" w:color="auto"/>
      </w:divBdr>
    </w:div>
    <w:div w:id="630787980">
      <w:bodyDiv w:val="1"/>
      <w:marLeft w:val="0"/>
      <w:marRight w:val="0"/>
      <w:marTop w:val="0"/>
      <w:marBottom w:val="0"/>
      <w:divBdr>
        <w:top w:val="none" w:sz="0" w:space="0" w:color="auto"/>
        <w:left w:val="none" w:sz="0" w:space="0" w:color="auto"/>
        <w:bottom w:val="none" w:sz="0" w:space="0" w:color="auto"/>
        <w:right w:val="none" w:sz="0" w:space="0" w:color="auto"/>
      </w:divBdr>
    </w:div>
    <w:div w:id="671838884">
      <w:bodyDiv w:val="1"/>
      <w:marLeft w:val="0"/>
      <w:marRight w:val="0"/>
      <w:marTop w:val="0"/>
      <w:marBottom w:val="0"/>
      <w:divBdr>
        <w:top w:val="none" w:sz="0" w:space="0" w:color="auto"/>
        <w:left w:val="none" w:sz="0" w:space="0" w:color="auto"/>
        <w:bottom w:val="none" w:sz="0" w:space="0" w:color="auto"/>
        <w:right w:val="none" w:sz="0" w:space="0" w:color="auto"/>
      </w:divBdr>
      <w:divsChild>
        <w:div w:id="1228808786">
          <w:marLeft w:val="720"/>
          <w:marRight w:val="0"/>
          <w:marTop w:val="0"/>
          <w:marBottom w:val="0"/>
          <w:divBdr>
            <w:top w:val="none" w:sz="0" w:space="0" w:color="auto"/>
            <w:left w:val="none" w:sz="0" w:space="0" w:color="auto"/>
            <w:bottom w:val="none" w:sz="0" w:space="0" w:color="auto"/>
            <w:right w:val="none" w:sz="0" w:space="0" w:color="auto"/>
          </w:divBdr>
        </w:div>
      </w:divsChild>
    </w:div>
    <w:div w:id="783382014">
      <w:bodyDiv w:val="1"/>
      <w:marLeft w:val="0"/>
      <w:marRight w:val="0"/>
      <w:marTop w:val="0"/>
      <w:marBottom w:val="0"/>
      <w:divBdr>
        <w:top w:val="none" w:sz="0" w:space="0" w:color="auto"/>
        <w:left w:val="none" w:sz="0" w:space="0" w:color="auto"/>
        <w:bottom w:val="none" w:sz="0" w:space="0" w:color="auto"/>
        <w:right w:val="none" w:sz="0" w:space="0" w:color="auto"/>
      </w:divBdr>
    </w:div>
    <w:div w:id="813638605">
      <w:bodyDiv w:val="1"/>
      <w:marLeft w:val="0"/>
      <w:marRight w:val="0"/>
      <w:marTop w:val="0"/>
      <w:marBottom w:val="0"/>
      <w:divBdr>
        <w:top w:val="none" w:sz="0" w:space="0" w:color="auto"/>
        <w:left w:val="none" w:sz="0" w:space="0" w:color="auto"/>
        <w:bottom w:val="none" w:sz="0" w:space="0" w:color="auto"/>
        <w:right w:val="none" w:sz="0" w:space="0" w:color="auto"/>
      </w:divBdr>
      <w:divsChild>
        <w:div w:id="2120644047">
          <w:marLeft w:val="720"/>
          <w:marRight w:val="0"/>
          <w:marTop w:val="0"/>
          <w:marBottom w:val="0"/>
          <w:divBdr>
            <w:top w:val="none" w:sz="0" w:space="0" w:color="auto"/>
            <w:left w:val="none" w:sz="0" w:space="0" w:color="auto"/>
            <w:bottom w:val="none" w:sz="0" w:space="0" w:color="auto"/>
            <w:right w:val="none" w:sz="0" w:space="0" w:color="auto"/>
          </w:divBdr>
        </w:div>
      </w:divsChild>
    </w:div>
    <w:div w:id="823084837">
      <w:bodyDiv w:val="1"/>
      <w:marLeft w:val="0"/>
      <w:marRight w:val="0"/>
      <w:marTop w:val="0"/>
      <w:marBottom w:val="0"/>
      <w:divBdr>
        <w:top w:val="none" w:sz="0" w:space="0" w:color="auto"/>
        <w:left w:val="none" w:sz="0" w:space="0" w:color="auto"/>
        <w:bottom w:val="none" w:sz="0" w:space="0" w:color="auto"/>
        <w:right w:val="none" w:sz="0" w:space="0" w:color="auto"/>
      </w:divBdr>
    </w:div>
    <w:div w:id="831415486">
      <w:bodyDiv w:val="1"/>
      <w:marLeft w:val="0"/>
      <w:marRight w:val="0"/>
      <w:marTop w:val="0"/>
      <w:marBottom w:val="0"/>
      <w:divBdr>
        <w:top w:val="none" w:sz="0" w:space="0" w:color="auto"/>
        <w:left w:val="none" w:sz="0" w:space="0" w:color="auto"/>
        <w:bottom w:val="none" w:sz="0" w:space="0" w:color="auto"/>
        <w:right w:val="none" w:sz="0" w:space="0" w:color="auto"/>
      </w:divBdr>
      <w:divsChild>
        <w:div w:id="1340892698">
          <w:marLeft w:val="720"/>
          <w:marRight w:val="0"/>
          <w:marTop w:val="0"/>
          <w:marBottom w:val="0"/>
          <w:divBdr>
            <w:top w:val="none" w:sz="0" w:space="0" w:color="auto"/>
            <w:left w:val="none" w:sz="0" w:space="0" w:color="auto"/>
            <w:bottom w:val="none" w:sz="0" w:space="0" w:color="auto"/>
            <w:right w:val="none" w:sz="0" w:space="0" w:color="auto"/>
          </w:divBdr>
        </w:div>
        <w:div w:id="727263655">
          <w:marLeft w:val="720"/>
          <w:marRight w:val="0"/>
          <w:marTop w:val="0"/>
          <w:marBottom w:val="0"/>
          <w:divBdr>
            <w:top w:val="none" w:sz="0" w:space="0" w:color="auto"/>
            <w:left w:val="none" w:sz="0" w:space="0" w:color="auto"/>
            <w:bottom w:val="none" w:sz="0" w:space="0" w:color="auto"/>
            <w:right w:val="none" w:sz="0" w:space="0" w:color="auto"/>
          </w:divBdr>
        </w:div>
        <w:div w:id="1952592183">
          <w:marLeft w:val="720"/>
          <w:marRight w:val="0"/>
          <w:marTop w:val="0"/>
          <w:marBottom w:val="0"/>
          <w:divBdr>
            <w:top w:val="none" w:sz="0" w:space="0" w:color="auto"/>
            <w:left w:val="none" w:sz="0" w:space="0" w:color="auto"/>
            <w:bottom w:val="none" w:sz="0" w:space="0" w:color="auto"/>
            <w:right w:val="none" w:sz="0" w:space="0" w:color="auto"/>
          </w:divBdr>
        </w:div>
      </w:divsChild>
    </w:div>
    <w:div w:id="911819700">
      <w:bodyDiv w:val="1"/>
      <w:marLeft w:val="0"/>
      <w:marRight w:val="0"/>
      <w:marTop w:val="0"/>
      <w:marBottom w:val="0"/>
      <w:divBdr>
        <w:top w:val="none" w:sz="0" w:space="0" w:color="auto"/>
        <w:left w:val="none" w:sz="0" w:space="0" w:color="auto"/>
        <w:bottom w:val="none" w:sz="0" w:space="0" w:color="auto"/>
        <w:right w:val="none" w:sz="0" w:space="0" w:color="auto"/>
      </w:divBdr>
    </w:div>
    <w:div w:id="1292444774">
      <w:bodyDiv w:val="1"/>
      <w:marLeft w:val="0"/>
      <w:marRight w:val="0"/>
      <w:marTop w:val="0"/>
      <w:marBottom w:val="0"/>
      <w:divBdr>
        <w:top w:val="none" w:sz="0" w:space="0" w:color="auto"/>
        <w:left w:val="none" w:sz="0" w:space="0" w:color="auto"/>
        <w:bottom w:val="none" w:sz="0" w:space="0" w:color="auto"/>
        <w:right w:val="none" w:sz="0" w:space="0" w:color="auto"/>
      </w:divBdr>
    </w:div>
    <w:div w:id="1458790190">
      <w:bodyDiv w:val="1"/>
      <w:marLeft w:val="0"/>
      <w:marRight w:val="0"/>
      <w:marTop w:val="0"/>
      <w:marBottom w:val="0"/>
      <w:divBdr>
        <w:top w:val="none" w:sz="0" w:space="0" w:color="auto"/>
        <w:left w:val="none" w:sz="0" w:space="0" w:color="auto"/>
        <w:bottom w:val="none" w:sz="0" w:space="0" w:color="auto"/>
        <w:right w:val="none" w:sz="0" w:space="0" w:color="auto"/>
      </w:divBdr>
      <w:divsChild>
        <w:div w:id="67581701">
          <w:marLeft w:val="720"/>
          <w:marRight w:val="0"/>
          <w:marTop w:val="0"/>
          <w:marBottom w:val="0"/>
          <w:divBdr>
            <w:top w:val="none" w:sz="0" w:space="0" w:color="auto"/>
            <w:left w:val="none" w:sz="0" w:space="0" w:color="auto"/>
            <w:bottom w:val="none" w:sz="0" w:space="0" w:color="auto"/>
            <w:right w:val="none" w:sz="0" w:space="0" w:color="auto"/>
          </w:divBdr>
        </w:div>
      </w:divsChild>
    </w:div>
    <w:div w:id="1531722501">
      <w:bodyDiv w:val="1"/>
      <w:marLeft w:val="0"/>
      <w:marRight w:val="0"/>
      <w:marTop w:val="0"/>
      <w:marBottom w:val="0"/>
      <w:divBdr>
        <w:top w:val="none" w:sz="0" w:space="0" w:color="auto"/>
        <w:left w:val="none" w:sz="0" w:space="0" w:color="auto"/>
        <w:bottom w:val="none" w:sz="0" w:space="0" w:color="auto"/>
        <w:right w:val="none" w:sz="0" w:space="0" w:color="auto"/>
      </w:divBdr>
    </w:div>
    <w:div w:id="1708212701">
      <w:bodyDiv w:val="1"/>
      <w:marLeft w:val="0"/>
      <w:marRight w:val="0"/>
      <w:marTop w:val="0"/>
      <w:marBottom w:val="0"/>
      <w:divBdr>
        <w:top w:val="none" w:sz="0" w:space="0" w:color="auto"/>
        <w:left w:val="none" w:sz="0" w:space="0" w:color="auto"/>
        <w:bottom w:val="none" w:sz="0" w:space="0" w:color="auto"/>
        <w:right w:val="none" w:sz="0" w:space="0" w:color="auto"/>
      </w:divBdr>
    </w:div>
    <w:div w:id="1870025155">
      <w:bodyDiv w:val="1"/>
      <w:marLeft w:val="0"/>
      <w:marRight w:val="0"/>
      <w:marTop w:val="0"/>
      <w:marBottom w:val="0"/>
      <w:divBdr>
        <w:top w:val="none" w:sz="0" w:space="0" w:color="auto"/>
        <w:left w:val="none" w:sz="0" w:space="0" w:color="auto"/>
        <w:bottom w:val="none" w:sz="0" w:space="0" w:color="auto"/>
        <w:right w:val="none" w:sz="0" w:space="0" w:color="auto"/>
      </w:divBdr>
    </w:div>
    <w:div w:id="1884707079">
      <w:bodyDiv w:val="1"/>
      <w:marLeft w:val="0"/>
      <w:marRight w:val="0"/>
      <w:marTop w:val="0"/>
      <w:marBottom w:val="0"/>
      <w:divBdr>
        <w:top w:val="none" w:sz="0" w:space="0" w:color="auto"/>
        <w:left w:val="none" w:sz="0" w:space="0" w:color="auto"/>
        <w:bottom w:val="none" w:sz="0" w:space="0" w:color="auto"/>
        <w:right w:val="none" w:sz="0" w:space="0" w:color="auto"/>
      </w:divBdr>
    </w:div>
    <w:div w:id="2093355017">
      <w:bodyDiv w:val="1"/>
      <w:marLeft w:val="0"/>
      <w:marRight w:val="0"/>
      <w:marTop w:val="0"/>
      <w:marBottom w:val="0"/>
      <w:divBdr>
        <w:top w:val="none" w:sz="0" w:space="0" w:color="auto"/>
        <w:left w:val="none" w:sz="0" w:space="0" w:color="auto"/>
        <w:bottom w:val="none" w:sz="0" w:space="0" w:color="auto"/>
        <w:right w:val="none" w:sz="0" w:space="0" w:color="auto"/>
      </w:divBdr>
    </w:div>
    <w:div w:id="2093888814">
      <w:bodyDiv w:val="1"/>
      <w:marLeft w:val="0"/>
      <w:marRight w:val="0"/>
      <w:marTop w:val="0"/>
      <w:marBottom w:val="0"/>
      <w:divBdr>
        <w:top w:val="none" w:sz="0" w:space="0" w:color="auto"/>
        <w:left w:val="none" w:sz="0" w:space="0" w:color="auto"/>
        <w:bottom w:val="none" w:sz="0" w:space="0" w:color="auto"/>
        <w:right w:val="none" w:sz="0" w:space="0" w:color="auto"/>
      </w:divBdr>
    </w:div>
    <w:div w:id="2125298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Dyar</dc:creator>
  <cp:keywords/>
  <dc:description/>
  <cp:lastModifiedBy>Oliver Dyar</cp:lastModifiedBy>
  <cp:revision>66</cp:revision>
  <dcterms:created xsi:type="dcterms:W3CDTF">2018-07-26T12:27:00Z</dcterms:created>
  <dcterms:modified xsi:type="dcterms:W3CDTF">2018-10-29T10:06:00Z</dcterms:modified>
</cp:coreProperties>
</file>