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F35290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Default="00515A8F">
      <w:pPr>
        <w:suppressAutoHyphens/>
        <w:rPr>
          <w:szCs w:val="24"/>
        </w:rPr>
      </w:pPr>
    </w:p>
    <w:p w:rsidR="00F35290" w:rsidRDefault="00F35290" w:rsidP="00F35290">
      <w:pPr>
        <w:rPr>
          <w:szCs w:val="24"/>
        </w:rPr>
      </w:pPr>
      <w:r>
        <w:rPr>
          <w:szCs w:val="24"/>
        </w:rPr>
        <w:t>Alle yrkesforeninger</w:t>
      </w:r>
    </w:p>
    <w:p w:rsidR="00F35290" w:rsidRDefault="00F35290" w:rsidP="00F35290">
      <w:pPr>
        <w:rPr>
          <w:szCs w:val="24"/>
        </w:rPr>
      </w:pPr>
      <w:r>
        <w:rPr>
          <w:szCs w:val="24"/>
        </w:rPr>
        <w:t>NMF</w:t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F35290">
        <w:rPr>
          <w:szCs w:val="24"/>
        </w:rPr>
        <w:t>14.5.2018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F35290" w:rsidRPr="00EC5945" w:rsidRDefault="00F35290" w:rsidP="00F35290">
      <w:pPr>
        <w:rPr>
          <w:b/>
          <w:sz w:val="30"/>
          <w:szCs w:val="30"/>
        </w:rPr>
      </w:pPr>
      <w:r w:rsidRPr="00EC5945">
        <w:rPr>
          <w:b/>
          <w:sz w:val="30"/>
          <w:szCs w:val="30"/>
        </w:rPr>
        <w:t xml:space="preserve">Høring - </w:t>
      </w:r>
      <w:r w:rsidRPr="00EC5945">
        <w:rPr>
          <w:b/>
          <w:sz w:val="30"/>
          <w:szCs w:val="30"/>
        </w:rPr>
        <w:t xml:space="preserve">Forslag til endringer i forskrift om lisens til </w:t>
      </w:r>
      <w:r w:rsidR="00A16B4D" w:rsidRPr="00EC5945">
        <w:rPr>
          <w:b/>
          <w:sz w:val="30"/>
          <w:szCs w:val="30"/>
        </w:rPr>
        <w:t>h</w:t>
      </w:r>
      <w:r w:rsidRPr="00EC5945">
        <w:rPr>
          <w:b/>
          <w:sz w:val="30"/>
          <w:szCs w:val="30"/>
        </w:rPr>
        <w:t>elsepersonell</w:t>
      </w:r>
      <w:r w:rsidR="006733C5" w:rsidRPr="00EC5945">
        <w:rPr>
          <w:b/>
          <w:sz w:val="30"/>
          <w:szCs w:val="30"/>
        </w:rPr>
        <w:t xml:space="preserve"> – Forlengelse av overgangsordning</w:t>
      </w:r>
    </w:p>
    <w:p w:rsidR="00515A8F" w:rsidRPr="00EC5945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515A8F" w:rsidRPr="00EC5945" w:rsidRDefault="006733C5">
      <w:pPr>
        <w:tabs>
          <w:tab w:val="left" w:pos="-1440"/>
          <w:tab w:val="left" w:pos="-720"/>
        </w:tabs>
        <w:suppressAutoHyphens/>
        <w:rPr>
          <w:szCs w:val="24"/>
        </w:rPr>
      </w:pPr>
      <w:r w:rsidRPr="00EC5945">
        <w:rPr>
          <w:szCs w:val="24"/>
        </w:rPr>
        <w:t>Helse- og omsorgsdepartementet har sendt på høring forslag til endringer i forskrift om lisens til helsepersonell, med ønske om å forlenge overgangsordningen</w:t>
      </w:r>
      <w:r w:rsidR="0060548B" w:rsidRPr="00EC5945">
        <w:rPr>
          <w:szCs w:val="24"/>
        </w:rPr>
        <w:t xml:space="preserve"> som ble vedtatt i forbindelse med omleggingen av turnustjenesten for leger</w:t>
      </w:r>
      <w:r w:rsidRPr="00EC5945">
        <w:rPr>
          <w:szCs w:val="24"/>
        </w:rPr>
        <w:t>.</w:t>
      </w:r>
    </w:p>
    <w:p w:rsidR="007E70F9" w:rsidRPr="00EC5945" w:rsidRDefault="007E70F9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9C0B42" w:rsidRPr="00EC5945" w:rsidRDefault="007E70F9">
      <w:pPr>
        <w:tabs>
          <w:tab w:val="left" w:pos="-1440"/>
          <w:tab w:val="left" w:pos="-720"/>
        </w:tabs>
        <w:suppressAutoHyphens/>
        <w:rPr>
          <w:rStyle w:val="fontstyle01"/>
          <w:rFonts w:ascii="Times New Roman" w:hAnsi="Times New Roman"/>
        </w:rPr>
      </w:pPr>
      <w:r w:rsidRPr="00EC5945">
        <w:rPr>
          <w:rStyle w:val="fontstyle01"/>
          <w:rFonts w:ascii="Times New Roman" w:hAnsi="Times New Roman"/>
        </w:rPr>
        <w:t>Helse- og omsorgsdepartementet foreslår å forlenge overgangsordningen som gir noen medisinske kandidater mulighet til å få en lisens som lege i Norge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for å kunne gjennomføre første del av den norske spesialistutdanningen. Overgangsordningen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er fra 2012, og gjelder for medisinske kandidater som har bestått eksamen i et annet EØS</w:t>
      </w:r>
      <w:r w:rsidRPr="00EC5945">
        <w:rPr>
          <w:rStyle w:val="fontstyle01"/>
          <w:rFonts w:ascii="Times New Roman" w:hAnsi="Times New Roman"/>
        </w:rPr>
        <w:t>-</w:t>
      </w:r>
      <w:r w:rsidRPr="00EC5945">
        <w:rPr>
          <w:rStyle w:val="fontstyle01"/>
          <w:rFonts w:ascii="Times New Roman" w:hAnsi="Times New Roman"/>
        </w:rPr>
        <w:t>land, men som mangler praktisk tjeneste for å bli godkjent som lege i utdanningslandet</w:t>
      </w:r>
      <w:r w:rsidRPr="00EC5945">
        <w:rPr>
          <w:rStyle w:val="fontstyle01"/>
          <w:rFonts w:ascii="Times New Roman" w:hAnsi="Times New Roman"/>
        </w:rPr>
        <w:t>,</w:t>
      </w:r>
      <w:r w:rsidRPr="00EC5945">
        <w:rPr>
          <w:rStyle w:val="fontstyle01"/>
          <w:rFonts w:ascii="Times New Roman" w:hAnsi="Times New Roman"/>
        </w:rPr>
        <w:t xml:space="preserve"> og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derfor ikke har</w:t>
      </w:r>
      <w:r w:rsidR="009C0B42" w:rsidRPr="00EC5945">
        <w:rPr>
          <w:rStyle w:val="fontstyle01"/>
          <w:rFonts w:ascii="Times New Roman" w:hAnsi="Times New Roman"/>
        </w:rPr>
        <w:t xml:space="preserve"> rett til autorisasjon i Norge. </w:t>
      </w:r>
      <w:r w:rsidR="009C0B42" w:rsidRPr="00EC5945">
        <w:rPr>
          <w:rStyle w:val="fontstyle01"/>
          <w:rFonts w:ascii="Times New Roman" w:hAnsi="Times New Roman"/>
        </w:rPr>
        <w:t>Den aktuelle overgangsordningen ble innført som en særskilt tidsavgrenset ordning da</w:t>
      </w:r>
      <w:r w:rsidR="009C0B42" w:rsidRPr="00EC5945">
        <w:rPr>
          <w:rStyle w:val="fontstyle01"/>
          <w:rFonts w:ascii="Times New Roman" w:hAnsi="Times New Roman"/>
        </w:rPr>
        <w:t xml:space="preserve"> </w:t>
      </w:r>
      <w:r w:rsidR="009C0B42" w:rsidRPr="00EC5945">
        <w:rPr>
          <w:rStyle w:val="fontstyle01"/>
          <w:rFonts w:ascii="Times New Roman" w:hAnsi="Times New Roman"/>
        </w:rPr>
        <w:t xml:space="preserve">turnustjenesten for leger ble endret i 2012. </w:t>
      </w:r>
    </w:p>
    <w:p w:rsidR="009C0B42" w:rsidRPr="00EC5945" w:rsidRDefault="009C0B42">
      <w:pPr>
        <w:tabs>
          <w:tab w:val="left" w:pos="-1440"/>
          <w:tab w:val="left" w:pos="-720"/>
        </w:tabs>
        <w:suppressAutoHyphens/>
        <w:rPr>
          <w:rStyle w:val="fontstyle01"/>
          <w:rFonts w:ascii="Times New Roman" w:hAnsi="Times New Roman"/>
        </w:rPr>
      </w:pPr>
      <w:r w:rsidRPr="00EC5945">
        <w:rPr>
          <w:color w:val="000000"/>
          <w:szCs w:val="24"/>
        </w:rPr>
        <w:br/>
      </w:r>
      <w:r w:rsidRPr="00EC5945">
        <w:rPr>
          <w:rStyle w:val="fontstyle01"/>
          <w:rFonts w:ascii="Times New Roman" w:hAnsi="Times New Roman"/>
        </w:rPr>
        <w:t>Det var i 2012 mange studenter i de aktuelle landene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som ikke hadde fullført eller startet på praksisperioden, og som ønsket å gjennomføre norsk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turnustjeneste i stedet for praksisperiode, men få norsk autorisasjon som lege på bakgrunn av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fullført eksamen fra annet EØS-land og gjennomført turnustjeneste i Norge.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Endringene fra 2012 i reglene om turnus, førte til at det ikke lenger ville være mulig for disse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studentene å gjennomføre turnustjenesten på samme vilkår som tidligere</w:t>
      </w:r>
      <w:r w:rsidRPr="00EC5945">
        <w:rPr>
          <w:rStyle w:val="fontstyle01"/>
          <w:rFonts w:ascii="Times New Roman" w:hAnsi="Times New Roman"/>
        </w:rPr>
        <w:t>,</w:t>
      </w:r>
      <w:r w:rsidRPr="00EC5945">
        <w:rPr>
          <w:rStyle w:val="fontstyle01"/>
          <w:rFonts w:ascii="Times New Roman" w:hAnsi="Times New Roman"/>
        </w:rPr>
        <w:t xml:space="preserve"> uten at de ble</w:t>
      </w:r>
      <w:r w:rsidRPr="00EC5945">
        <w:rPr>
          <w:rStyle w:val="fontstyle01"/>
          <w:rFonts w:ascii="Times New Roman" w:hAnsi="Times New Roman"/>
        </w:rPr>
        <w:t xml:space="preserve"> særskilt ivaretatt. </w:t>
      </w:r>
      <w:r w:rsidRPr="00EC5945">
        <w:rPr>
          <w:rStyle w:val="fontstyle01"/>
          <w:rFonts w:ascii="Times New Roman" w:hAnsi="Times New Roman"/>
        </w:rPr>
        <w:t>Årsaken var at det ble nødvendig med autorisasjon som lege for å kunne gjennomføre turnustjenesten</w:t>
      </w:r>
      <w:r w:rsidRPr="00EC5945">
        <w:rPr>
          <w:szCs w:val="24"/>
        </w:rPr>
        <w:t>.</w:t>
      </w:r>
    </w:p>
    <w:p w:rsidR="009C0B42" w:rsidRPr="00EC5945" w:rsidRDefault="009C0B42">
      <w:pPr>
        <w:tabs>
          <w:tab w:val="left" w:pos="-1440"/>
          <w:tab w:val="left" w:pos="-720"/>
        </w:tabs>
        <w:suppressAutoHyphens/>
        <w:rPr>
          <w:rStyle w:val="fontstyle01"/>
          <w:rFonts w:ascii="Times New Roman" w:hAnsi="Times New Roman"/>
        </w:rPr>
      </w:pPr>
    </w:p>
    <w:p w:rsidR="009C0B42" w:rsidRPr="00EC5945" w:rsidRDefault="009C0B42">
      <w:pPr>
        <w:tabs>
          <w:tab w:val="left" w:pos="-1440"/>
          <w:tab w:val="left" w:pos="-720"/>
        </w:tabs>
        <w:suppressAutoHyphens/>
        <w:rPr>
          <w:rStyle w:val="fontstyle01"/>
          <w:rFonts w:ascii="Times New Roman" w:hAnsi="Times New Roman"/>
        </w:rPr>
      </w:pPr>
      <w:r w:rsidRPr="00EC5945">
        <w:rPr>
          <w:rStyle w:val="fontstyle01"/>
          <w:rFonts w:ascii="Times New Roman" w:hAnsi="Times New Roman"/>
        </w:rPr>
        <w:t>Departementet vurderte i 2012 at noen studenter hadde en berettiget forventning om å kunne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gjennomføre norsk turnustjeneste som en del av grunnutdanningen, i stedet for praktisk</w:t>
      </w:r>
      <w:r w:rsidRPr="00EC5945">
        <w:rPr>
          <w:color w:val="000000"/>
          <w:szCs w:val="24"/>
        </w:rPr>
        <w:br/>
      </w:r>
      <w:r w:rsidRPr="00EC5945">
        <w:rPr>
          <w:rStyle w:val="fontstyle01"/>
          <w:rFonts w:ascii="Times New Roman" w:hAnsi="Times New Roman"/>
        </w:rPr>
        <w:t>tjeneste i utdanningslandet.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Autorisasjonstidspunktet for norskutdannede leger ble da flyttet ti</w:t>
      </w:r>
      <w:r w:rsidRPr="00EC5945">
        <w:rPr>
          <w:rStyle w:val="fontstyle01"/>
          <w:rFonts w:ascii="Times New Roman" w:hAnsi="Times New Roman"/>
        </w:rPr>
        <w:t>l etter fullført cand.med.-grad, og s</w:t>
      </w:r>
      <w:r w:rsidRPr="00EC5945">
        <w:rPr>
          <w:rStyle w:val="fontstyle01"/>
          <w:rFonts w:ascii="Times New Roman" w:hAnsi="Times New Roman"/>
        </w:rPr>
        <w:t>tudenter som enten allerede hadde startet eller som var i ferd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med å starte på studiene, fikk derfor en mulighet til å ta turnus på lisens (turnuslisens).</w:t>
      </w:r>
    </w:p>
    <w:p w:rsidR="009C0B42" w:rsidRPr="00EC5945" w:rsidRDefault="009C0B42">
      <w:pPr>
        <w:tabs>
          <w:tab w:val="left" w:pos="-1440"/>
          <w:tab w:val="left" w:pos="-720"/>
        </w:tabs>
        <w:suppressAutoHyphens/>
        <w:rPr>
          <w:rStyle w:val="fontstyle01"/>
          <w:rFonts w:ascii="Times New Roman" w:hAnsi="Times New Roman"/>
        </w:rPr>
      </w:pPr>
    </w:p>
    <w:p w:rsidR="009C0B42" w:rsidRPr="00EC5945" w:rsidRDefault="009C0B42">
      <w:pPr>
        <w:tabs>
          <w:tab w:val="left" w:pos="-1440"/>
          <w:tab w:val="left" w:pos="-720"/>
        </w:tabs>
        <w:suppressAutoHyphens/>
        <w:rPr>
          <w:szCs w:val="24"/>
        </w:rPr>
      </w:pPr>
      <w:r w:rsidRPr="00EC5945">
        <w:rPr>
          <w:rStyle w:val="fontstyle01"/>
          <w:rFonts w:ascii="Times New Roman" w:hAnsi="Times New Roman"/>
        </w:rPr>
        <w:t>Denne særskilte ordningen tok først og fremst sikte på studenter i land der språket var en</w:t>
      </w:r>
      <w:r w:rsidRPr="00EC5945">
        <w:rPr>
          <w:color w:val="000000"/>
          <w:szCs w:val="24"/>
        </w:rPr>
        <w:br/>
      </w:r>
      <w:r w:rsidRPr="00EC5945">
        <w:rPr>
          <w:rStyle w:val="fontstyle01"/>
          <w:rFonts w:ascii="Times New Roman" w:hAnsi="Times New Roman"/>
        </w:rPr>
        <w:t>hindring for å gjennomføre den praktiske tjenesten i utdanningslandet. Departementet ønsket</w:t>
      </w:r>
      <w:r w:rsidRPr="00EC5945">
        <w:rPr>
          <w:color w:val="000000"/>
          <w:szCs w:val="24"/>
        </w:rPr>
        <w:br/>
      </w:r>
      <w:r w:rsidRPr="00EC5945">
        <w:rPr>
          <w:rStyle w:val="fontstyle01"/>
          <w:rFonts w:ascii="Times New Roman" w:hAnsi="Times New Roman"/>
        </w:rPr>
        <w:t xml:space="preserve">imidlertid ikke å forskjellsbehandle mellom kandidater fra ulike </w:t>
      </w:r>
      <w:proofErr w:type="spellStart"/>
      <w:r w:rsidRPr="00EC5945">
        <w:rPr>
          <w:rStyle w:val="fontstyle01"/>
          <w:rFonts w:ascii="Times New Roman" w:hAnsi="Times New Roman"/>
        </w:rPr>
        <w:t>utdanningsland</w:t>
      </w:r>
      <w:proofErr w:type="spellEnd"/>
      <w:r w:rsidRPr="00EC5945">
        <w:rPr>
          <w:rStyle w:val="fontstyle01"/>
          <w:rFonts w:ascii="Times New Roman" w:hAnsi="Times New Roman"/>
        </w:rPr>
        <w:t>, blant annet</w:t>
      </w:r>
      <w:r w:rsidRPr="00EC5945">
        <w:rPr>
          <w:color w:val="000000"/>
          <w:szCs w:val="24"/>
        </w:rPr>
        <w:br/>
      </w:r>
      <w:r w:rsidRPr="00EC5945">
        <w:rPr>
          <w:rStyle w:val="fontstyle01"/>
          <w:rFonts w:ascii="Times New Roman" w:hAnsi="Times New Roman"/>
        </w:rPr>
        <w:t>fordi en slik forskjellsbehandling ville være i strid med EØS-avtalen. Ordningen ble derfor</w:t>
      </w:r>
      <w:r w:rsidRPr="00EC5945">
        <w:rPr>
          <w:color w:val="000000"/>
          <w:szCs w:val="24"/>
        </w:rPr>
        <w:br/>
      </w:r>
      <w:r w:rsidRPr="00EC5945">
        <w:rPr>
          <w:rStyle w:val="fontstyle01"/>
          <w:rFonts w:ascii="Times New Roman" w:hAnsi="Times New Roman"/>
        </w:rPr>
        <w:t>gjort gjeldende for alle kandidater utdannet i EØS-land der det kreves praktisk tjeneste etter</w:t>
      </w:r>
      <w:r w:rsidRPr="00EC5945">
        <w:rPr>
          <w:color w:val="000000"/>
          <w:szCs w:val="24"/>
        </w:rPr>
        <w:br/>
      </w:r>
      <w:r w:rsidRPr="00EC5945">
        <w:rPr>
          <w:rStyle w:val="fontstyle01"/>
          <w:rFonts w:ascii="Times New Roman" w:hAnsi="Times New Roman"/>
        </w:rPr>
        <w:t>bestått eksamen for å få rett til autorisasjon på grunnlag av gjennomført grunnutdanning.</w:t>
      </w:r>
      <w:r w:rsidRPr="00EC5945">
        <w:rPr>
          <w:color w:val="000000"/>
          <w:szCs w:val="24"/>
        </w:rPr>
        <w:br/>
      </w:r>
    </w:p>
    <w:p w:rsidR="007E70F9" w:rsidRPr="00EC5945" w:rsidRDefault="007E70F9">
      <w:pPr>
        <w:tabs>
          <w:tab w:val="left" w:pos="-1440"/>
          <w:tab w:val="left" w:pos="-720"/>
        </w:tabs>
        <w:suppressAutoHyphens/>
        <w:rPr>
          <w:szCs w:val="24"/>
        </w:rPr>
      </w:pPr>
      <w:r w:rsidRPr="00EC5945">
        <w:rPr>
          <w:rStyle w:val="fontstyle01"/>
          <w:rFonts w:ascii="Times New Roman" w:hAnsi="Times New Roman"/>
        </w:rPr>
        <w:t>Ordningen skal etter forslaget forlenges, men skal</w:t>
      </w:r>
      <w:r w:rsidRPr="00EC5945">
        <w:rPr>
          <w:rStyle w:val="fontstyle01"/>
          <w:rFonts w:ascii="Times New Roman" w:hAnsi="Times New Roman"/>
        </w:rPr>
        <w:t xml:space="preserve"> </w:t>
      </w:r>
      <w:r w:rsidRPr="00EC5945">
        <w:rPr>
          <w:rStyle w:val="fontstyle01"/>
          <w:rFonts w:ascii="Times New Roman" w:hAnsi="Times New Roman"/>
        </w:rPr>
        <w:t>fortsatt</w:t>
      </w:r>
      <w:r w:rsidRPr="00EC5945">
        <w:rPr>
          <w:rStyle w:val="fontstyle01"/>
          <w:rFonts w:ascii="Times New Roman" w:hAnsi="Times New Roman"/>
          <w:b/>
        </w:rPr>
        <w:t xml:space="preserve"> </w:t>
      </w:r>
      <w:r w:rsidR="000A4C4B" w:rsidRPr="00EC5945">
        <w:rPr>
          <w:rStyle w:val="fontstyle01"/>
          <w:rFonts w:ascii="Times New Roman" w:hAnsi="Times New Roman"/>
          <w:b/>
        </w:rPr>
        <w:t>kun</w:t>
      </w:r>
      <w:r w:rsidRPr="00EC5945">
        <w:rPr>
          <w:rStyle w:val="fontstyle01"/>
          <w:rFonts w:ascii="Times New Roman" w:hAnsi="Times New Roman"/>
          <w:b/>
        </w:rPr>
        <w:t xml:space="preserve"> omfatte dem som den omfattet da den </w:t>
      </w:r>
      <w:r w:rsidR="000A4C4B" w:rsidRPr="00EC5945">
        <w:rPr>
          <w:rStyle w:val="fontstyle01"/>
          <w:rFonts w:ascii="Times New Roman" w:hAnsi="Times New Roman"/>
          <w:b/>
        </w:rPr>
        <w:t xml:space="preserve">først </w:t>
      </w:r>
      <w:r w:rsidRPr="00EC5945">
        <w:rPr>
          <w:rStyle w:val="fontstyle01"/>
          <w:rFonts w:ascii="Times New Roman" w:hAnsi="Times New Roman"/>
          <w:b/>
        </w:rPr>
        <w:t>ble vedtatt</w:t>
      </w:r>
      <w:r w:rsidR="000A4C4B" w:rsidRPr="00EC5945">
        <w:rPr>
          <w:rStyle w:val="fontstyle01"/>
          <w:rFonts w:ascii="Times New Roman" w:hAnsi="Times New Roman"/>
          <w:b/>
        </w:rPr>
        <w:t>,</w:t>
      </w:r>
      <w:r w:rsidR="000A4C4B" w:rsidRPr="00EC5945">
        <w:rPr>
          <w:rStyle w:val="fontstyle01"/>
          <w:rFonts w:ascii="Times New Roman" w:hAnsi="Times New Roman"/>
        </w:rPr>
        <w:t xml:space="preserve"> det vil si de som hadde startet studiene eller fått tilbud om studieplass i 2012.</w:t>
      </w:r>
      <w:r w:rsidRPr="00EC5945">
        <w:rPr>
          <w:rStyle w:val="fontstyle01"/>
          <w:rFonts w:ascii="Times New Roman" w:hAnsi="Times New Roman"/>
        </w:rPr>
        <w:t xml:space="preserve"> </w:t>
      </w:r>
      <w:r w:rsidR="000A4C4B" w:rsidRPr="00EC5945">
        <w:rPr>
          <w:rStyle w:val="fontstyle01"/>
          <w:rFonts w:ascii="Times New Roman" w:hAnsi="Times New Roman"/>
        </w:rPr>
        <w:t xml:space="preserve">Departementet viser til at søkere som påbegynte utdanningen </w:t>
      </w:r>
      <w:r w:rsidR="000A4C4B" w:rsidRPr="00EC5945">
        <w:rPr>
          <w:rStyle w:val="fontstyle21"/>
          <w:rFonts w:ascii="Times New Roman" w:hAnsi="Times New Roman"/>
        </w:rPr>
        <w:t xml:space="preserve">etter </w:t>
      </w:r>
      <w:r w:rsidR="000A4C4B" w:rsidRPr="00EC5945">
        <w:rPr>
          <w:rStyle w:val="fontstyle01"/>
          <w:rFonts w:ascii="Times New Roman" w:hAnsi="Times New Roman"/>
        </w:rPr>
        <w:t>at turnusordningen ble lagt</w:t>
      </w:r>
      <w:r w:rsidR="000A4C4B" w:rsidRPr="00EC5945">
        <w:rPr>
          <w:rStyle w:val="fontstyle01"/>
          <w:rFonts w:ascii="Times New Roman" w:hAnsi="Times New Roman"/>
        </w:rPr>
        <w:t xml:space="preserve"> </w:t>
      </w:r>
      <w:r w:rsidR="000A4C4B" w:rsidRPr="00EC5945">
        <w:rPr>
          <w:rStyle w:val="fontstyle01"/>
          <w:rFonts w:ascii="Times New Roman" w:hAnsi="Times New Roman"/>
        </w:rPr>
        <w:t>om og overgangsordningen var fastsatt, ikke kan sies å ha noen berettiget forventning om å bli</w:t>
      </w:r>
      <w:r w:rsidR="000A4C4B" w:rsidRPr="00EC5945">
        <w:rPr>
          <w:rStyle w:val="fontstyle01"/>
          <w:rFonts w:ascii="Times New Roman" w:hAnsi="Times New Roman"/>
        </w:rPr>
        <w:t xml:space="preserve"> </w:t>
      </w:r>
      <w:r w:rsidR="000A4C4B" w:rsidRPr="00EC5945">
        <w:rPr>
          <w:rStyle w:val="fontstyle01"/>
          <w:rFonts w:ascii="Times New Roman" w:hAnsi="Times New Roman"/>
        </w:rPr>
        <w:t>ivaretatt av ordningen. Ordningen kom på plass etter dialog med blant annet ANSA</w:t>
      </w:r>
      <w:r w:rsidR="000A4C4B" w:rsidRPr="00EC5945">
        <w:rPr>
          <w:rStyle w:val="fontstyle01"/>
          <w:rFonts w:ascii="Times New Roman" w:hAnsi="Times New Roman"/>
        </w:rPr>
        <w:t xml:space="preserve"> og Legeforeningen, og </w:t>
      </w:r>
      <w:r w:rsidR="000A4C4B" w:rsidRPr="00EC5945">
        <w:rPr>
          <w:rStyle w:val="fontstyle01"/>
          <w:rFonts w:ascii="Times New Roman" w:hAnsi="Times New Roman"/>
        </w:rPr>
        <w:t xml:space="preserve">Helsedirektoratet </w:t>
      </w:r>
      <w:r w:rsidR="000A4C4B" w:rsidRPr="00EC5945">
        <w:rPr>
          <w:rStyle w:val="fontstyle01"/>
          <w:rFonts w:ascii="Times New Roman" w:hAnsi="Times New Roman"/>
        </w:rPr>
        <w:t xml:space="preserve">skriver at de da </w:t>
      </w:r>
      <w:r w:rsidR="000A4C4B" w:rsidRPr="00EC5945">
        <w:rPr>
          <w:rStyle w:val="fontstyle01"/>
          <w:rFonts w:ascii="Times New Roman" w:hAnsi="Times New Roman"/>
        </w:rPr>
        <w:t xml:space="preserve">informerte om </w:t>
      </w:r>
      <w:r w:rsidR="000A4C4B" w:rsidRPr="00EC5945">
        <w:rPr>
          <w:rStyle w:val="fontstyle01"/>
          <w:rFonts w:ascii="Times New Roman" w:hAnsi="Times New Roman"/>
        </w:rPr>
        <w:t xml:space="preserve">at </w:t>
      </w:r>
      <w:r w:rsidR="000A4C4B" w:rsidRPr="00EC5945">
        <w:rPr>
          <w:rStyle w:val="fontstyle01"/>
          <w:rFonts w:ascii="Times New Roman" w:hAnsi="Times New Roman"/>
        </w:rPr>
        <w:t>de nye reglene bare skulle gjelde for studente</w:t>
      </w:r>
      <w:r w:rsidR="000A4C4B" w:rsidRPr="00EC5945">
        <w:rPr>
          <w:rStyle w:val="fontstyle01"/>
          <w:rFonts w:ascii="Times New Roman" w:hAnsi="Times New Roman"/>
        </w:rPr>
        <w:t>r</w:t>
      </w:r>
      <w:r w:rsidR="000A4C4B" w:rsidRPr="00EC5945">
        <w:rPr>
          <w:rStyle w:val="fontstyle01"/>
          <w:rFonts w:ascii="Times New Roman" w:hAnsi="Times New Roman"/>
        </w:rPr>
        <w:t xml:space="preserve"> som da hadde</w:t>
      </w:r>
      <w:r w:rsidR="000A4C4B" w:rsidRPr="00EC5945">
        <w:rPr>
          <w:rStyle w:val="fontstyle01"/>
          <w:rFonts w:ascii="Times New Roman" w:hAnsi="Times New Roman"/>
        </w:rPr>
        <w:t xml:space="preserve"> </w:t>
      </w:r>
      <w:r w:rsidR="000A4C4B" w:rsidRPr="00EC5945">
        <w:rPr>
          <w:rStyle w:val="fontstyle01"/>
          <w:rFonts w:ascii="Times New Roman" w:hAnsi="Times New Roman"/>
        </w:rPr>
        <w:t>påbegynt studiene.</w:t>
      </w:r>
      <w:r w:rsidR="000A4C4B" w:rsidRPr="00EC5945">
        <w:rPr>
          <w:rStyle w:val="fontstyle01"/>
          <w:rFonts w:ascii="Times New Roman" w:hAnsi="Times New Roman"/>
        </w:rPr>
        <w:t xml:space="preserve"> </w:t>
      </w:r>
      <w:r w:rsidR="000A4C4B" w:rsidRPr="00EC5945">
        <w:rPr>
          <w:rStyle w:val="fontstyle01"/>
          <w:rFonts w:ascii="Times New Roman" w:hAnsi="Times New Roman"/>
        </w:rPr>
        <w:lastRenderedPageBreak/>
        <w:t>Departementet skriver videre at alle som påbegynner studier i utlandet har et eget ansvar for å sette seg inn i gjeldende regler.</w:t>
      </w:r>
      <w:r w:rsidR="003270A5" w:rsidRPr="00EC5945">
        <w:rPr>
          <w:rStyle w:val="fontstyle01"/>
          <w:rFonts w:ascii="Times New Roman" w:hAnsi="Times New Roman"/>
        </w:rPr>
        <w:t xml:space="preserve"> Det blir ikke satt noen ny sluttdato for ordningen, og den vil i praksis vare til alle registrerte studenter fra 2012 har fullført sin grad.</w:t>
      </w:r>
    </w:p>
    <w:p w:rsidR="009C0B42" w:rsidRPr="00EC5945" w:rsidRDefault="009C0B42" w:rsidP="007E70F9">
      <w:pPr>
        <w:rPr>
          <w:szCs w:val="24"/>
        </w:rPr>
      </w:pPr>
      <w:bookmarkStart w:id="7" w:name="bkmOverskr"/>
      <w:bookmarkEnd w:id="7"/>
    </w:p>
    <w:p w:rsidR="006733C5" w:rsidRPr="00EC5945" w:rsidRDefault="006733C5" w:rsidP="006733C5">
      <w:pPr>
        <w:rPr>
          <w:szCs w:val="24"/>
        </w:rPr>
      </w:pPr>
      <w:r w:rsidRPr="00EC5945">
        <w:rPr>
          <w:szCs w:val="24"/>
        </w:rPr>
        <w:t>Les mer på Helse- og omsorgsdepartementets sider:</w:t>
      </w:r>
    </w:p>
    <w:p w:rsidR="006733C5" w:rsidRPr="00EC5945" w:rsidRDefault="006733C5" w:rsidP="006733C5">
      <w:pPr>
        <w:rPr>
          <w:szCs w:val="24"/>
        </w:rPr>
      </w:pPr>
      <w:hyperlink r:id="rId9" w:history="1">
        <w:r w:rsidRPr="00EC5945">
          <w:rPr>
            <w:rStyle w:val="Hyperkobling"/>
            <w:szCs w:val="24"/>
          </w:rPr>
          <w:t>https://www.regjeringen.no/no/dokumenter/horing---endringer-i-lisensforskriften-forlengelse-av-overgangsordning/id2600476/</w:t>
        </w:r>
      </w:hyperlink>
    </w:p>
    <w:p w:rsidR="006733C5" w:rsidRPr="00EC5945" w:rsidRDefault="006733C5" w:rsidP="006733C5">
      <w:pPr>
        <w:rPr>
          <w:szCs w:val="24"/>
        </w:rPr>
      </w:pPr>
    </w:p>
    <w:p w:rsidR="006733C5" w:rsidRPr="00EC5945" w:rsidRDefault="006733C5" w:rsidP="006733C5">
      <w:pPr>
        <w:rPr>
          <w:szCs w:val="24"/>
        </w:rPr>
      </w:pPr>
      <w:r w:rsidRPr="00EC5945">
        <w:rPr>
          <w:szCs w:val="24"/>
        </w:rPr>
        <w:t>Dersom høringen virker relevant, bes det om at innspill sendes til Legeforeningen innen</w:t>
      </w:r>
    </w:p>
    <w:p w:rsidR="006733C5" w:rsidRPr="00EC5945" w:rsidRDefault="006733C5" w:rsidP="006733C5">
      <w:pPr>
        <w:rPr>
          <w:szCs w:val="24"/>
        </w:rPr>
      </w:pPr>
      <w:r w:rsidRPr="00EC5945">
        <w:rPr>
          <w:b/>
          <w:bCs/>
          <w:szCs w:val="24"/>
        </w:rPr>
        <w:t>30. mai 2018</w:t>
      </w:r>
      <w:r w:rsidRPr="00EC5945">
        <w:rPr>
          <w:bCs/>
          <w:szCs w:val="24"/>
        </w:rPr>
        <w:t xml:space="preserve">. </w:t>
      </w:r>
      <w:r w:rsidRPr="00EC5945">
        <w:rPr>
          <w:szCs w:val="24"/>
        </w:rPr>
        <w:t xml:space="preserve">Det bes om at innspillene lastes opp direkte på Legeforeningens nettsider. </w:t>
      </w:r>
    </w:p>
    <w:p w:rsidR="006733C5" w:rsidRPr="00EC5945" w:rsidRDefault="006733C5" w:rsidP="006733C5">
      <w:pPr>
        <w:rPr>
          <w:szCs w:val="24"/>
        </w:rPr>
      </w:pPr>
    </w:p>
    <w:p w:rsidR="006733C5" w:rsidRPr="00EC5945" w:rsidRDefault="006733C5" w:rsidP="006733C5">
      <w:pPr>
        <w:rPr>
          <w:szCs w:val="24"/>
        </w:rPr>
      </w:pPr>
      <w:r w:rsidRPr="00EC5945">
        <w:rPr>
          <w:szCs w:val="24"/>
        </w:rPr>
        <w:t xml:space="preserve">Høringen finnes på </w:t>
      </w:r>
      <w:r w:rsidRPr="00EC5945">
        <w:rPr>
          <w:b/>
          <w:szCs w:val="24"/>
        </w:rPr>
        <w:t xml:space="preserve">Legeforeningen.no </w:t>
      </w:r>
      <w:r w:rsidRPr="00EC5945">
        <w:rPr>
          <w:szCs w:val="24"/>
        </w:rPr>
        <w:t xml:space="preserve">under </w:t>
      </w:r>
      <w:r w:rsidRPr="00EC5945">
        <w:rPr>
          <w:b/>
          <w:szCs w:val="24"/>
        </w:rPr>
        <w:t>Legeforeningens politikk – Høringer.</w:t>
      </w:r>
    </w:p>
    <w:p w:rsidR="00515A8F" w:rsidRPr="00EC5945" w:rsidRDefault="00515A8F">
      <w:pPr>
        <w:rPr>
          <w:szCs w:val="24"/>
        </w:rPr>
      </w:pPr>
      <w:bookmarkStart w:id="8" w:name="bkmStopp"/>
      <w:bookmarkEnd w:id="8"/>
    </w:p>
    <w:p w:rsidR="00515A8F" w:rsidRPr="00EC5945" w:rsidRDefault="00515A8F">
      <w:pPr>
        <w:rPr>
          <w:szCs w:val="24"/>
        </w:rPr>
      </w:pPr>
      <w:r w:rsidRPr="00EC5945">
        <w:rPr>
          <w:szCs w:val="24"/>
        </w:rPr>
        <w:t>Med hilsen</w:t>
      </w:r>
    </w:p>
    <w:p w:rsidR="00515A8F" w:rsidRPr="00EC5945" w:rsidRDefault="00515A8F">
      <w:pPr>
        <w:rPr>
          <w:szCs w:val="24"/>
        </w:rPr>
      </w:pPr>
      <w:r w:rsidRPr="00EC5945">
        <w:rPr>
          <w:szCs w:val="24"/>
        </w:rPr>
        <w:t>Den norske l</w:t>
      </w:r>
      <w:r w:rsidR="004C628F" w:rsidRPr="00EC5945">
        <w:rPr>
          <w:szCs w:val="24"/>
        </w:rPr>
        <w:t>e</w:t>
      </w:r>
      <w:r w:rsidRPr="00EC5945">
        <w:rPr>
          <w:szCs w:val="24"/>
        </w:rPr>
        <w:t>geforening</w:t>
      </w:r>
    </w:p>
    <w:p w:rsidR="00515A8F" w:rsidRPr="00EC5945" w:rsidRDefault="00515A8F">
      <w:pPr>
        <w:rPr>
          <w:szCs w:val="24"/>
        </w:rPr>
      </w:pPr>
    </w:p>
    <w:p w:rsidR="00515A8F" w:rsidRPr="00EC5945" w:rsidRDefault="00515A8F">
      <w:pPr>
        <w:rPr>
          <w:szCs w:val="24"/>
        </w:rPr>
      </w:pPr>
    </w:p>
    <w:p w:rsidR="00515A8F" w:rsidRPr="00EC5945" w:rsidRDefault="00F35290">
      <w:pPr>
        <w:rPr>
          <w:szCs w:val="24"/>
        </w:rPr>
      </w:pPr>
      <w:bookmarkStart w:id="9" w:name="bkmUnders"/>
      <w:bookmarkEnd w:id="9"/>
      <w:r w:rsidRPr="00EC5945">
        <w:rPr>
          <w:szCs w:val="24"/>
        </w:rPr>
        <w:t>Ingvild Bjørgo Berg</w:t>
      </w:r>
    </w:p>
    <w:p w:rsidR="00515A8F" w:rsidRPr="00EC5945" w:rsidRDefault="00F35290">
      <w:pPr>
        <w:rPr>
          <w:szCs w:val="24"/>
        </w:rPr>
      </w:pPr>
      <w:bookmarkStart w:id="10" w:name="bkmTittel"/>
      <w:bookmarkEnd w:id="10"/>
      <w:r w:rsidRPr="00EC5945">
        <w:rPr>
          <w:szCs w:val="24"/>
        </w:rPr>
        <w:t>Helsepolitisk</w:t>
      </w:r>
      <w:bookmarkStart w:id="11" w:name="_GoBack"/>
      <w:bookmarkEnd w:id="11"/>
      <w:r w:rsidRPr="00EC5945">
        <w:rPr>
          <w:szCs w:val="24"/>
        </w:rPr>
        <w:t xml:space="preserve"> rådgiver</w:t>
      </w:r>
    </w:p>
    <w:sectPr w:rsidR="00515A8F" w:rsidRPr="00EC5945" w:rsidSect="00EB5AE9">
      <w:footerReference w:type="default" r:id="rId10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90" w:rsidRDefault="00F35290">
      <w:pPr>
        <w:spacing w:line="20" w:lineRule="exact"/>
      </w:pPr>
    </w:p>
  </w:endnote>
  <w:endnote w:type="continuationSeparator" w:id="0">
    <w:p w:rsidR="00F35290" w:rsidRDefault="00F35290">
      <w:r>
        <w:t xml:space="preserve"> </w:t>
      </w:r>
    </w:p>
  </w:endnote>
  <w:endnote w:type="continuationNotice" w:id="1">
    <w:p w:rsidR="00F35290" w:rsidRDefault="00F352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90" w:rsidRDefault="00F35290">
      <w:r>
        <w:separator/>
      </w:r>
    </w:p>
  </w:footnote>
  <w:footnote w:type="continuationSeparator" w:id="0">
    <w:p w:rsidR="00F35290" w:rsidRDefault="00F3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90"/>
    <w:rsid w:val="00036D82"/>
    <w:rsid w:val="000645B0"/>
    <w:rsid w:val="000A4C4B"/>
    <w:rsid w:val="000C6B0E"/>
    <w:rsid w:val="003270A5"/>
    <w:rsid w:val="00417EEE"/>
    <w:rsid w:val="0042025D"/>
    <w:rsid w:val="004C628F"/>
    <w:rsid w:val="00515A8F"/>
    <w:rsid w:val="00604BF8"/>
    <w:rsid w:val="0060548B"/>
    <w:rsid w:val="006733C5"/>
    <w:rsid w:val="006B589F"/>
    <w:rsid w:val="007C618B"/>
    <w:rsid w:val="007E70F9"/>
    <w:rsid w:val="009C0B42"/>
    <w:rsid w:val="009D1786"/>
    <w:rsid w:val="00A064D9"/>
    <w:rsid w:val="00A16B4D"/>
    <w:rsid w:val="00BE2998"/>
    <w:rsid w:val="00C33AB7"/>
    <w:rsid w:val="00D5242A"/>
    <w:rsid w:val="00DC1503"/>
    <w:rsid w:val="00DD479E"/>
    <w:rsid w:val="00DE3EAA"/>
    <w:rsid w:val="00EB5AE9"/>
    <w:rsid w:val="00EC5945"/>
    <w:rsid w:val="00F35290"/>
    <w:rsid w:val="00F42D64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uiPriority w:val="99"/>
    <w:unhideWhenUsed/>
    <w:rsid w:val="006733C5"/>
    <w:rPr>
      <w:color w:val="0000FF"/>
      <w:u w:val="single"/>
    </w:rPr>
  </w:style>
  <w:style w:type="character" w:customStyle="1" w:styleId="fontstyle01">
    <w:name w:val="fontstyle01"/>
    <w:basedOn w:val="Standardskriftforavsnitt"/>
    <w:rsid w:val="007E70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skriftforavsnitt"/>
    <w:rsid w:val="000A4C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uiPriority w:val="99"/>
    <w:unhideWhenUsed/>
    <w:rsid w:val="006733C5"/>
    <w:rPr>
      <w:color w:val="0000FF"/>
      <w:u w:val="single"/>
    </w:rPr>
  </w:style>
  <w:style w:type="character" w:customStyle="1" w:styleId="fontstyle01">
    <w:name w:val="fontstyle01"/>
    <w:basedOn w:val="Standardskriftforavsnitt"/>
    <w:rsid w:val="007E70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skriftforavsnitt"/>
    <w:rsid w:val="000A4C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horing---endringer-i-lisensforskriften-forlengelse-av-overgangsordning/id260047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3DB6-DB85-49BF-AFB6-9351DCC0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39</TotalTime>
  <Pages>2</Pages>
  <Words>588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11</cp:revision>
  <cp:lastPrinted>2007-12-18T07:22:00Z</cp:lastPrinted>
  <dcterms:created xsi:type="dcterms:W3CDTF">2018-05-14T07:10:00Z</dcterms:created>
  <dcterms:modified xsi:type="dcterms:W3CDTF">2018-05-14T07:49:00Z</dcterms:modified>
</cp:coreProperties>
</file>