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FD981" w14:textId="52102247" w:rsidR="006C6C71" w:rsidRDefault="006C6C71">
      <w:r>
        <w:tab/>
      </w:r>
      <w:r>
        <w:tab/>
      </w:r>
      <w:r w:rsidR="00CB731F">
        <w:t xml:space="preserve">                   </w:t>
      </w:r>
      <w:r>
        <w:tab/>
      </w:r>
      <w:r>
        <w:tab/>
      </w:r>
      <w:r>
        <w:tab/>
      </w:r>
      <w:r>
        <w:tab/>
      </w:r>
    </w:p>
    <w:p w14:paraId="53DD50DE" w14:textId="6464E34D" w:rsidR="006C6C71" w:rsidRDefault="006C6C71"/>
    <w:p w14:paraId="0D70F856" w14:textId="41F3BC48" w:rsidR="006C6C71" w:rsidRDefault="006C6C71"/>
    <w:p w14:paraId="3E8AE31C" w14:textId="00E0EE38" w:rsidR="006C6C71" w:rsidRDefault="006C45B7" w:rsidP="006C6C71">
      <w:pPr>
        <w:jc w:val="right"/>
      </w:pPr>
      <w:r>
        <w:t>Oslo, 1</w:t>
      </w:r>
      <w:r w:rsidR="00FF6753">
        <w:t>3</w:t>
      </w:r>
      <w:r w:rsidR="006C6C71">
        <w:t>.09.21</w:t>
      </w:r>
    </w:p>
    <w:p w14:paraId="0FAF1E3E" w14:textId="77777777" w:rsidR="006C6C71" w:rsidRDefault="006C6C71"/>
    <w:p w14:paraId="7BB825D3" w14:textId="39EFB0F2" w:rsidR="006C45B7" w:rsidRDefault="006C45B7">
      <w:pPr>
        <w:rPr>
          <w:b/>
          <w:sz w:val="28"/>
          <w:szCs w:val="28"/>
          <w:u w:val="single"/>
        </w:rPr>
      </w:pPr>
      <w:r w:rsidRPr="006C45B7">
        <w:rPr>
          <w:b/>
          <w:sz w:val="28"/>
          <w:szCs w:val="28"/>
          <w:u w:val="single"/>
        </w:rPr>
        <w:t xml:space="preserve">Oversikt over medikamentell behandling av </w:t>
      </w:r>
      <w:r w:rsidR="002A6E12">
        <w:rPr>
          <w:b/>
          <w:sz w:val="28"/>
          <w:szCs w:val="28"/>
          <w:u w:val="single"/>
        </w:rPr>
        <w:t>immunmedierte</w:t>
      </w:r>
      <w:r w:rsidR="005C36F0">
        <w:rPr>
          <w:b/>
          <w:sz w:val="28"/>
          <w:szCs w:val="28"/>
          <w:u w:val="single"/>
        </w:rPr>
        <w:t xml:space="preserve"> lidelser</w:t>
      </w:r>
      <w:r w:rsidRPr="006C45B7">
        <w:rPr>
          <w:b/>
          <w:sz w:val="28"/>
          <w:szCs w:val="28"/>
          <w:u w:val="single"/>
        </w:rPr>
        <w:t xml:space="preserve"> der vi anbefaler 3.dose med vaksine mot covid-19</w:t>
      </w:r>
    </w:p>
    <w:p w14:paraId="20632FE2" w14:textId="0FC1D706" w:rsidR="006C45B7" w:rsidRDefault="006C45B7" w:rsidP="00261C03">
      <w:r>
        <w:t>Fagspesialister fra re</w:t>
      </w:r>
      <w:r w:rsidR="00856EC3">
        <w:t>v</w:t>
      </w:r>
      <w:r>
        <w:t xml:space="preserve">matologi, gastromedisin, hudsykdommer, nevrologi og infeksjonsmedisin anbefaler at pasienter med </w:t>
      </w:r>
      <w:r w:rsidR="002A6E12">
        <w:t>immunmedierte</w:t>
      </w:r>
      <w:r w:rsidR="00C85B02">
        <w:t xml:space="preserve"> </w:t>
      </w:r>
      <w:r>
        <w:t>lidelser som behandles med ett</w:t>
      </w:r>
      <w:r w:rsidR="007F33D5">
        <w:t xml:space="preserve"> </w:t>
      </w:r>
      <w:r w:rsidR="00FF6753">
        <w:t xml:space="preserve">eller flere </w:t>
      </w:r>
      <w:r w:rsidR="007F33D5">
        <w:t>av medikamentene listet nedenfor</w:t>
      </w:r>
      <w:r>
        <w:t xml:space="preserve"> tilbys tredje dose med vaksine</w:t>
      </w:r>
      <w:r w:rsidR="007F33D5">
        <w:t xml:space="preserve"> mot covid-19 så </w:t>
      </w:r>
      <w:r w:rsidR="002A6E12">
        <w:t>raskt</w:t>
      </w:r>
      <w:r w:rsidR="007F33D5">
        <w:t xml:space="preserve"> som mulig</w:t>
      </w:r>
      <w:r w:rsidR="009F03E7">
        <w:t>,</w:t>
      </w:r>
      <w:r w:rsidR="009F03E7" w:rsidRPr="009F03E7">
        <w:t xml:space="preserve"> </w:t>
      </w:r>
      <w:r w:rsidR="009F03E7">
        <w:t>men</w:t>
      </w:r>
      <w:r w:rsidR="009F03E7">
        <w:rPr>
          <w:bCs/>
        </w:rPr>
        <w:t xml:space="preserve"> tidligst 4 uker etter fullvaksinering eller 3 måneder etter gjennomgått covid-19.</w:t>
      </w:r>
    </w:p>
    <w:p w14:paraId="78816B8C" w14:textId="4FFFDC80" w:rsidR="00932A81" w:rsidRDefault="009F03E7" w:rsidP="00261C03">
      <w:r>
        <w:t xml:space="preserve">Denne listen er basert på kunnskap om virkningsmekanismen til medikamentene. Vi understreker at det er et begrenset kunnskapsgrunnlag om effekten av vaksiner for personer som bruker immundempende behandling. Studier viser at noen av medikamentene fører til svært liten antistoff-respons, mens andre medikamenter bare gir </w:t>
      </w:r>
      <w:r w:rsidR="00983DDE">
        <w:t>redusert</w:t>
      </w:r>
      <w:r>
        <w:t xml:space="preserve"> antistoff-respons hos et fåtall av pasientene. Vi vet lite om medikamentenes effekt på cellulær immunitet. Viktigst </w:t>
      </w:r>
      <w:r w:rsidR="00FF6753">
        <w:t xml:space="preserve">er at vi </w:t>
      </w:r>
      <w:r>
        <w:t xml:space="preserve">vet lite om klinisk respons, altså om vaksinene beskytter </w:t>
      </w:r>
      <w:r w:rsidR="00932A81">
        <w:t xml:space="preserve">dårligere </w:t>
      </w:r>
      <w:r>
        <w:t>mot alvorlig sykdom hos personer som bruker disse medikamentene</w:t>
      </w:r>
      <w:r w:rsidR="00FD4FF3">
        <w:t xml:space="preserve"> enn hos andre</w:t>
      </w:r>
      <w:r>
        <w:t xml:space="preserve">, uavhengig av antistoffnivå. Generelt er det ikke sett alvorlige bivirkninger av en tredje vaksinedose. Det er praktisk vanskelig å selektere pasienter </w:t>
      </w:r>
      <w:r w:rsidR="00932A81">
        <w:t xml:space="preserve">med dårlig vaksinerespons </w:t>
      </w:r>
      <w:r>
        <w:t>innen hver med</w:t>
      </w:r>
      <w:r w:rsidR="00932A81">
        <w:t>ikamentgruppe</w:t>
      </w:r>
      <w:r>
        <w:t>. Vi anbefaler derfor vaksinering til alle som bruker medikamentene listet nedenfor.</w:t>
      </w:r>
      <w:r w:rsidR="00932A81">
        <w:t xml:space="preserve"> </w:t>
      </w:r>
    </w:p>
    <w:p w14:paraId="6FDE993E" w14:textId="5ED68196" w:rsidR="00C85B02" w:rsidRDefault="006C45B7">
      <w:pPr>
        <w:rPr>
          <w:b/>
        </w:rPr>
      </w:pPr>
      <w:r w:rsidRPr="00A12008">
        <w:rPr>
          <w:b/>
        </w:rPr>
        <w:t xml:space="preserve">Pasientene må selv ta kontakt med kommunehelsetjenesten i sin kommune for vaksinering og informere om at de er aktuelle for 3.dose pga medikamentet de behandles med. </w:t>
      </w:r>
    </w:p>
    <w:p w14:paraId="66363F91" w14:textId="2FFD5D37" w:rsidR="001360C8" w:rsidRPr="00A12008" w:rsidRDefault="001360C8">
      <w:pPr>
        <w:rPr>
          <w:b/>
        </w:rPr>
      </w:pPr>
      <w:r>
        <w:rPr>
          <w:b/>
        </w:rPr>
        <w:t>Det er ikke nødvendig at pasientene tar kontakt med spesialisthelsetjenesten eller fastlege før vaksinering, med mindre det er noe spesielt de er usikre på.</w:t>
      </w:r>
    </w:p>
    <w:p w14:paraId="5F8959AF" w14:textId="25BB0B1F" w:rsidR="00C85B02" w:rsidRPr="00A12008" w:rsidRDefault="00C85B02" w:rsidP="002A6E12">
      <w:pPr>
        <w:spacing w:after="0"/>
        <w:rPr>
          <w:b/>
        </w:rPr>
      </w:pPr>
      <w:r w:rsidRPr="00A12008">
        <w:rPr>
          <w:b/>
        </w:rPr>
        <w:t>Som bekreftelse på at de bruker aktuell behandling ved vaksinering må</w:t>
      </w:r>
      <w:r w:rsidR="002A6E12" w:rsidRPr="00A12008">
        <w:rPr>
          <w:b/>
        </w:rPr>
        <w:t xml:space="preserve"> </w:t>
      </w:r>
      <w:r w:rsidR="00FF6753">
        <w:rPr>
          <w:b/>
        </w:rPr>
        <w:t>pasienten</w:t>
      </w:r>
      <w:r w:rsidR="001360C8">
        <w:rPr>
          <w:b/>
        </w:rPr>
        <w:t>e</w:t>
      </w:r>
      <w:r w:rsidR="00FF6753">
        <w:rPr>
          <w:b/>
        </w:rPr>
        <w:t xml:space="preserve"> </w:t>
      </w:r>
      <w:r w:rsidR="006C45B7" w:rsidRPr="00A12008">
        <w:rPr>
          <w:b/>
        </w:rPr>
        <w:t xml:space="preserve">fremvise </w:t>
      </w:r>
      <w:r w:rsidRPr="00A12008">
        <w:rPr>
          <w:b/>
        </w:rPr>
        <w:t>en av følgende</w:t>
      </w:r>
      <w:r w:rsidR="002A6E12" w:rsidRPr="00A12008">
        <w:rPr>
          <w:b/>
        </w:rPr>
        <w:t>:</w:t>
      </w:r>
    </w:p>
    <w:p w14:paraId="525FB363" w14:textId="1747FC59" w:rsidR="00C85B02" w:rsidRPr="00A12008" w:rsidRDefault="00C85B02" w:rsidP="002A6E12">
      <w:pPr>
        <w:pStyle w:val="Listeavsnitt"/>
        <w:numPr>
          <w:ilvl w:val="0"/>
          <w:numId w:val="7"/>
        </w:numPr>
        <w:spacing w:after="0"/>
        <w:rPr>
          <w:b/>
        </w:rPr>
      </w:pPr>
      <w:r w:rsidRPr="00A12008">
        <w:rPr>
          <w:b/>
        </w:rPr>
        <w:t>Resept</w:t>
      </w:r>
      <w:r w:rsidR="00932A81" w:rsidRPr="00A12008">
        <w:rPr>
          <w:b/>
        </w:rPr>
        <w:t>, e-resept</w:t>
      </w:r>
      <w:r w:rsidRPr="00A12008">
        <w:rPr>
          <w:b/>
        </w:rPr>
        <w:t xml:space="preserve"> eller emballasje med navnet og datert etikett fra apoteket</w:t>
      </w:r>
    </w:p>
    <w:p w14:paraId="58C1ADD0" w14:textId="560A1682" w:rsidR="00C85B02" w:rsidRPr="00A12008" w:rsidRDefault="00C85B02" w:rsidP="002A6E12">
      <w:pPr>
        <w:pStyle w:val="Listeavsnitt"/>
        <w:numPr>
          <w:ilvl w:val="0"/>
          <w:numId w:val="7"/>
        </w:numPr>
        <w:spacing w:after="0"/>
        <w:rPr>
          <w:b/>
        </w:rPr>
      </w:pPr>
      <w:r w:rsidRPr="00A12008">
        <w:rPr>
          <w:b/>
        </w:rPr>
        <w:t>P</w:t>
      </w:r>
      <w:r w:rsidR="006C45B7" w:rsidRPr="00A12008">
        <w:rPr>
          <w:b/>
        </w:rPr>
        <w:t>oliklinisk notat</w:t>
      </w:r>
      <w:r w:rsidR="00983DDE" w:rsidRPr="00A12008">
        <w:rPr>
          <w:b/>
        </w:rPr>
        <w:t>,</w:t>
      </w:r>
      <w:r w:rsidRPr="00A12008">
        <w:rPr>
          <w:b/>
        </w:rPr>
        <w:t xml:space="preserve"> epikrise</w:t>
      </w:r>
      <w:r w:rsidR="00983DDE" w:rsidRPr="00A12008">
        <w:rPr>
          <w:b/>
        </w:rPr>
        <w:t xml:space="preserve"> eller brev der den aktuelle behandlingen er nevnt, enten</w:t>
      </w:r>
      <w:r w:rsidRPr="00A12008">
        <w:rPr>
          <w:b/>
        </w:rPr>
        <w:t xml:space="preserve"> </w:t>
      </w:r>
      <w:r w:rsidR="00932A81" w:rsidRPr="00A12008">
        <w:rPr>
          <w:b/>
        </w:rPr>
        <w:t xml:space="preserve">i papirversjon eller </w:t>
      </w:r>
      <w:r w:rsidRPr="00A12008">
        <w:rPr>
          <w:b/>
        </w:rPr>
        <w:t>hentet fra HelseNorge</w:t>
      </w:r>
    </w:p>
    <w:p w14:paraId="4EC769A5" w14:textId="77777777" w:rsidR="002A6E12" w:rsidRDefault="002A6E12"/>
    <w:p w14:paraId="010467BF" w14:textId="5023BFC4" w:rsidR="00B87030" w:rsidRDefault="006C45B7">
      <w:r>
        <w:t>Vaksinestasjonen skal ikke lagre spesifikk informasjon om behandlingen, men kan velge å dokumentere at aktuell informasjon er fremvist.</w:t>
      </w:r>
    </w:p>
    <w:p w14:paraId="4FE0F2D8" w14:textId="77777777" w:rsidR="00350E84" w:rsidRDefault="00350E84">
      <w:pPr>
        <w:rPr>
          <w:b/>
          <w:u w:val="single"/>
        </w:rPr>
      </w:pPr>
    </w:p>
    <w:p w14:paraId="27D30798" w14:textId="77777777" w:rsidR="00350E84" w:rsidRDefault="00350E84">
      <w:pPr>
        <w:rPr>
          <w:b/>
          <w:u w:val="single"/>
        </w:rPr>
      </w:pPr>
    </w:p>
    <w:p w14:paraId="01F7BEAC" w14:textId="680F0A3F" w:rsidR="005C36F0" w:rsidRDefault="006C45B7" w:rsidP="00A12008">
      <w:r w:rsidRPr="007F33D5">
        <w:rPr>
          <w:b/>
          <w:u w:val="single"/>
        </w:rPr>
        <w:lastRenderedPageBreak/>
        <w:t>Pasienter som bruker følgende medikamenter er aktuelle</w:t>
      </w:r>
      <w:r w:rsidR="00F25878">
        <w:rPr>
          <w:b/>
          <w:u w:val="single"/>
        </w:rPr>
        <w:t xml:space="preserve"> for tredje vaksinedose</w:t>
      </w:r>
      <w:r w:rsidR="00FF6753">
        <w:t>:</w:t>
      </w:r>
      <w:r w:rsidR="005C36F0">
        <w:tab/>
      </w:r>
    </w:p>
    <w:tbl>
      <w:tblPr>
        <w:tblW w:w="7180" w:type="dxa"/>
        <w:tblCellMar>
          <w:left w:w="70" w:type="dxa"/>
          <w:right w:w="70" w:type="dxa"/>
        </w:tblCellMar>
        <w:tblLook w:val="04A0" w:firstRow="1" w:lastRow="0" w:firstColumn="1" w:lastColumn="0" w:noHBand="0" w:noVBand="1"/>
      </w:tblPr>
      <w:tblGrid>
        <w:gridCol w:w="7180"/>
      </w:tblGrid>
      <w:tr w:rsidR="00B57282" w:rsidRPr="00B57282" w14:paraId="2D8EDC0F" w14:textId="77777777" w:rsidTr="00B57282">
        <w:trPr>
          <w:trHeight w:val="300"/>
        </w:trPr>
        <w:tc>
          <w:tcPr>
            <w:tcW w:w="7180" w:type="dxa"/>
            <w:tcBorders>
              <w:top w:val="nil"/>
              <w:left w:val="nil"/>
              <w:bottom w:val="nil"/>
              <w:right w:val="nil"/>
            </w:tcBorders>
            <w:shd w:val="clear" w:color="auto" w:fill="auto"/>
            <w:noWrap/>
            <w:vAlign w:val="bottom"/>
            <w:hideMark/>
          </w:tcPr>
          <w:p w14:paraId="705CA766" w14:textId="77777777" w:rsidR="00B57282" w:rsidRPr="00B57282" w:rsidRDefault="00B57282" w:rsidP="00B57282">
            <w:pPr>
              <w:spacing w:after="0" w:line="240" w:lineRule="auto"/>
              <w:rPr>
                <w:rFonts w:ascii="Calibri" w:eastAsia="Times New Roman" w:hAnsi="Calibri" w:cs="Calibri"/>
                <w:color w:val="000000"/>
                <w:lang w:eastAsia="nb-NO"/>
              </w:rPr>
            </w:pPr>
            <w:r w:rsidRPr="00B57282">
              <w:rPr>
                <w:rFonts w:ascii="Calibri" w:eastAsia="Times New Roman" w:hAnsi="Calibri" w:cs="Calibri"/>
                <w:color w:val="000000"/>
                <w:lang w:eastAsia="nb-NO"/>
              </w:rPr>
              <w:t>Abatacept (Orencia®)</w:t>
            </w:r>
          </w:p>
        </w:tc>
      </w:tr>
      <w:tr w:rsidR="00B57282" w:rsidRPr="00B57282" w14:paraId="0BF55B2F" w14:textId="77777777" w:rsidTr="00B57282">
        <w:trPr>
          <w:trHeight w:val="300"/>
        </w:trPr>
        <w:tc>
          <w:tcPr>
            <w:tcW w:w="7180" w:type="dxa"/>
            <w:tcBorders>
              <w:top w:val="nil"/>
              <w:left w:val="nil"/>
              <w:bottom w:val="nil"/>
              <w:right w:val="nil"/>
            </w:tcBorders>
            <w:shd w:val="clear" w:color="auto" w:fill="auto"/>
            <w:noWrap/>
            <w:vAlign w:val="bottom"/>
            <w:hideMark/>
          </w:tcPr>
          <w:p w14:paraId="5C9CF1CE" w14:textId="77777777" w:rsidR="00B57282" w:rsidRPr="00B57282" w:rsidRDefault="00B57282" w:rsidP="00B57282">
            <w:pPr>
              <w:spacing w:after="0" w:line="240" w:lineRule="auto"/>
              <w:rPr>
                <w:rFonts w:ascii="Calibri" w:eastAsia="Times New Roman" w:hAnsi="Calibri" w:cs="Calibri"/>
                <w:color w:val="000000"/>
                <w:lang w:eastAsia="nb-NO"/>
              </w:rPr>
            </w:pPr>
            <w:r w:rsidRPr="00B57282">
              <w:rPr>
                <w:rFonts w:ascii="Calibri" w:eastAsia="Times New Roman" w:hAnsi="Calibri" w:cs="Calibri"/>
                <w:color w:val="000000"/>
                <w:lang w:eastAsia="nb-NO"/>
              </w:rPr>
              <w:t>Adalimumab (Humira®, Hyrimoz®)</w:t>
            </w:r>
          </w:p>
        </w:tc>
      </w:tr>
      <w:tr w:rsidR="00B57282" w:rsidRPr="00B57282" w14:paraId="450C3ED6" w14:textId="77777777" w:rsidTr="00B57282">
        <w:trPr>
          <w:trHeight w:val="300"/>
        </w:trPr>
        <w:tc>
          <w:tcPr>
            <w:tcW w:w="7180" w:type="dxa"/>
            <w:tcBorders>
              <w:top w:val="nil"/>
              <w:left w:val="nil"/>
              <w:bottom w:val="nil"/>
              <w:right w:val="nil"/>
            </w:tcBorders>
            <w:shd w:val="clear" w:color="auto" w:fill="auto"/>
            <w:noWrap/>
            <w:vAlign w:val="bottom"/>
            <w:hideMark/>
          </w:tcPr>
          <w:p w14:paraId="6C8BAA2C" w14:textId="77777777" w:rsidR="00B57282" w:rsidRPr="00B57282" w:rsidRDefault="00B57282" w:rsidP="00B57282">
            <w:pPr>
              <w:spacing w:after="0" w:line="240" w:lineRule="auto"/>
              <w:rPr>
                <w:rFonts w:ascii="Calibri" w:eastAsia="Times New Roman" w:hAnsi="Calibri" w:cs="Calibri"/>
                <w:color w:val="000000"/>
                <w:lang w:eastAsia="nb-NO"/>
              </w:rPr>
            </w:pPr>
            <w:r w:rsidRPr="00B57282">
              <w:rPr>
                <w:rFonts w:ascii="Calibri" w:eastAsia="Times New Roman" w:hAnsi="Calibri" w:cs="Calibri"/>
                <w:color w:val="000000"/>
                <w:lang w:eastAsia="nb-NO"/>
              </w:rPr>
              <w:t xml:space="preserve">Anakinra (Kineret®) </w:t>
            </w:r>
          </w:p>
        </w:tc>
      </w:tr>
      <w:tr w:rsidR="00B57282" w:rsidRPr="00B57282" w14:paraId="2A8D9236" w14:textId="77777777" w:rsidTr="00B57282">
        <w:trPr>
          <w:trHeight w:val="300"/>
        </w:trPr>
        <w:tc>
          <w:tcPr>
            <w:tcW w:w="7180" w:type="dxa"/>
            <w:tcBorders>
              <w:top w:val="nil"/>
              <w:left w:val="nil"/>
              <w:bottom w:val="nil"/>
              <w:right w:val="nil"/>
            </w:tcBorders>
            <w:shd w:val="clear" w:color="auto" w:fill="auto"/>
            <w:noWrap/>
            <w:vAlign w:val="bottom"/>
            <w:hideMark/>
          </w:tcPr>
          <w:p w14:paraId="01D38478" w14:textId="77777777" w:rsidR="00B57282" w:rsidRPr="00B57282" w:rsidRDefault="00B57282" w:rsidP="00B57282">
            <w:pPr>
              <w:spacing w:after="0" w:line="240" w:lineRule="auto"/>
              <w:rPr>
                <w:rFonts w:ascii="Calibri" w:eastAsia="Times New Roman" w:hAnsi="Calibri" w:cs="Calibri"/>
                <w:color w:val="000000"/>
                <w:lang w:eastAsia="nb-NO"/>
              </w:rPr>
            </w:pPr>
            <w:r w:rsidRPr="00B57282">
              <w:rPr>
                <w:rFonts w:ascii="Calibri" w:eastAsia="Times New Roman" w:hAnsi="Calibri" w:cs="Calibri"/>
                <w:color w:val="000000"/>
                <w:lang w:eastAsia="nb-NO"/>
              </w:rPr>
              <w:t>Azathioprin (Imurel®)</w:t>
            </w:r>
          </w:p>
        </w:tc>
      </w:tr>
      <w:tr w:rsidR="00B57282" w:rsidRPr="00B57282" w14:paraId="68F8E59C" w14:textId="77777777" w:rsidTr="00B57282">
        <w:trPr>
          <w:trHeight w:val="300"/>
        </w:trPr>
        <w:tc>
          <w:tcPr>
            <w:tcW w:w="7180" w:type="dxa"/>
            <w:tcBorders>
              <w:top w:val="nil"/>
              <w:left w:val="nil"/>
              <w:bottom w:val="nil"/>
              <w:right w:val="nil"/>
            </w:tcBorders>
            <w:shd w:val="clear" w:color="auto" w:fill="auto"/>
            <w:noWrap/>
            <w:vAlign w:val="bottom"/>
            <w:hideMark/>
          </w:tcPr>
          <w:p w14:paraId="142EF851" w14:textId="77777777" w:rsidR="00B57282" w:rsidRPr="00B57282" w:rsidRDefault="00B57282" w:rsidP="00B57282">
            <w:pPr>
              <w:spacing w:after="0" w:line="240" w:lineRule="auto"/>
              <w:rPr>
                <w:rFonts w:ascii="Calibri" w:eastAsia="Times New Roman" w:hAnsi="Calibri" w:cs="Calibri"/>
                <w:color w:val="000000"/>
                <w:lang w:eastAsia="nb-NO"/>
              </w:rPr>
            </w:pPr>
            <w:r w:rsidRPr="00B57282">
              <w:rPr>
                <w:rFonts w:ascii="Calibri" w:eastAsia="Times New Roman" w:hAnsi="Calibri" w:cs="Calibri"/>
                <w:color w:val="000000"/>
                <w:lang w:eastAsia="nb-NO"/>
              </w:rPr>
              <w:t>Baricitinib (Olumiant®)</w:t>
            </w:r>
          </w:p>
        </w:tc>
      </w:tr>
      <w:tr w:rsidR="00B57282" w:rsidRPr="00B57282" w14:paraId="60E660CD" w14:textId="77777777" w:rsidTr="00B57282">
        <w:trPr>
          <w:trHeight w:val="300"/>
        </w:trPr>
        <w:tc>
          <w:tcPr>
            <w:tcW w:w="7180" w:type="dxa"/>
            <w:tcBorders>
              <w:top w:val="nil"/>
              <w:left w:val="nil"/>
              <w:bottom w:val="nil"/>
              <w:right w:val="nil"/>
            </w:tcBorders>
            <w:shd w:val="clear" w:color="auto" w:fill="auto"/>
            <w:noWrap/>
            <w:vAlign w:val="bottom"/>
            <w:hideMark/>
          </w:tcPr>
          <w:p w14:paraId="2F8D75A1" w14:textId="77777777" w:rsidR="00B57282" w:rsidRPr="00B57282" w:rsidRDefault="00B57282" w:rsidP="00B57282">
            <w:pPr>
              <w:spacing w:after="0" w:line="240" w:lineRule="auto"/>
              <w:rPr>
                <w:rFonts w:ascii="Calibri" w:eastAsia="Times New Roman" w:hAnsi="Calibri" w:cs="Calibri"/>
                <w:color w:val="000000"/>
                <w:lang w:eastAsia="nb-NO"/>
              </w:rPr>
            </w:pPr>
            <w:r w:rsidRPr="00B57282">
              <w:rPr>
                <w:rFonts w:ascii="Calibri" w:eastAsia="Times New Roman" w:hAnsi="Calibri" w:cs="Calibri"/>
                <w:color w:val="000000"/>
                <w:lang w:eastAsia="nb-NO"/>
              </w:rPr>
              <w:t xml:space="preserve">Belimumab (Benlysta®) </w:t>
            </w:r>
          </w:p>
        </w:tc>
      </w:tr>
      <w:tr w:rsidR="00B57282" w:rsidRPr="00B57282" w14:paraId="3E25F888" w14:textId="77777777" w:rsidTr="00B57282">
        <w:trPr>
          <w:trHeight w:val="300"/>
        </w:trPr>
        <w:tc>
          <w:tcPr>
            <w:tcW w:w="7180" w:type="dxa"/>
            <w:tcBorders>
              <w:top w:val="nil"/>
              <w:left w:val="nil"/>
              <w:bottom w:val="nil"/>
              <w:right w:val="nil"/>
            </w:tcBorders>
            <w:shd w:val="clear" w:color="auto" w:fill="auto"/>
            <w:noWrap/>
            <w:vAlign w:val="bottom"/>
            <w:hideMark/>
          </w:tcPr>
          <w:p w14:paraId="011C84F9" w14:textId="77777777" w:rsidR="00B57282" w:rsidRPr="00B57282" w:rsidRDefault="00B57282" w:rsidP="00B57282">
            <w:pPr>
              <w:spacing w:after="0" w:line="240" w:lineRule="auto"/>
              <w:rPr>
                <w:rFonts w:ascii="Calibri" w:eastAsia="Times New Roman" w:hAnsi="Calibri" w:cs="Calibri"/>
                <w:color w:val="000000"/>
                <w:lang w:eastAsia="nb-NO"/>
              </w:rPr>
            </w:pPr>
            <w:r w:rsidRPr="00B57282">
              <w:rPr>
                <w:rFonts w:ascii="Calibri" w:eastAsia="Times New Roman" w:hAnsi="Calibri" w:cs="Calibri"/>
                <w:color w:val="000000"/>
                <w:lang w:eastAsia="nb-NO"/>
              </w:rPr>
              <w:t xml:space="preserve">Brodalumab (Kyntheum®) </w:t>
            </w:r>
          </w:p>
        </w:tc>
      </w:tr>
      <w:tr w:rsidR="00B57282" w:rsidRPr="00B57282" w14:paraId="4234051E" w14:textId="77777777" w:rsidTr="00B57282">
        <w:trPr>
          <w:trHeight w:val="300"/>
        </w:trPr>
        <w:tc>
          <w:tcPr>
            <w:tcW w:w="7180" w:type="dxa"/>
            <w:tcBorders>
              <w:top w:val="nil"/>
              <w:left w:val="nil"/>
              <w:bottom w:val="nil"/>
              <w:right w:val="nil"/>
            </w:tcBorders>
            <w:shd w:val="clear" w:color="auto" w:fill="auto"/>
            <w:noWrap/>
            <w:vAlign w:val="bottom"/>
            <w:hideMark/>
          </w:tcPr>
          <w:p w14:paraId="51BC5C76" w14:textId="77777777" w:rsidR="00B57282" w:rsidRPr="00B57282" w:rsidRDefault="00B57282" w:rsidP="00B57282">
            <w:pPr>
              <w:spacing w:after="0" w:line="240" w:lineRule="auto"/>
              <w:rPr>
                <w:rFonts w:ascii="Calibri" w:eastAsia="Times New Roman" w:hAnsi="Calibri" w:cs="Calibri"/>
                <w:color w:val="000000"/>
                <w:lang w:eastAsia="nb-NO"/>
              </w:rPr>
            </w:pPr>
            <w:r w:rsidRPr="00B57282">
              <w:rPr>
                <w:rFonts w:ascii="Calibri" w:eastAsia="Times New Roman" w:hAnsi="Calibri" w:cs="Calibri"/>
                <w:color w:val="000000"/>
                <w:lang w:eastAsia="nb-NO"/>
              </w:rPr>
              <w:t>Certolizumab pegol (Cimizia®)</w:t>
            </w:r>
          </w:p>
        </w:tc>
      </w:tr>
      <w:tr w:rsidR="00B57282" w:rsidRPr="00B57282" w14:paraId="1E90E60B" w14:textId="77777777" w:rsidTr="00B57282">
        <w:trPr>
          <w:trHeight w:val="300"/>
        </w:trPr>
        <w:tc>
          <w:tcPr>
            <w:tcW w:w="7180" w:type="dxa"/>
            <w:tcBorders>
              <w:top w:val="nil"/>
              <w:left w:val="nil"/>
              <w:bottom w:val="nil"/>
              <w:right w:val="nil"/>
            </w:tcBorders>
            <w:shd w:val="clear" w:color="auto" w:fill="auto"/>
            <w:noWrap/>
            <w:vAlign w:val="bottom"/>
            <w:hideMark/>
          </w:tcPr>
          <w:p w14:paraId="60B5191A" w14:textId="77777777" w:rsidR="00B57282" w:rsidRPr="00B57282" w:rsidRDefault="00B57282" w:rsidP="00B57282">
            <w:pPr>
              <w:spacing w:after="0" w:line="240" w:lineRule="auto"/>
              <w:rPr>
                <w:rFonts w:ascii="Calibri" w:eastAsia="Times New Roman" w:hAnsi="Calibri" w:cs="Calibri"/>
                <w:color w:val="000000"/>
                <w:lang w:eastAsia="nb-NO"/>
              </w:rPr>
            </w:pPr>
            <w:r w:rsidRPr="00B57282">
              <w:rPr>
                <w:rFonts w:ascii="Calibri" w:eastAsia="Times New Roman" w:hAnsi="Calibri" w:cs="Calibri"/>
                <w:color w:val="000000"/>
                <w:lang w:eastAsia="nb-NO"/>
              </w:rPr>
              <w:t>Ciklosporin (Sandimmun®)</w:t>
            </w:r>
          </w:p>
        </w:tc>
      </w:tr>
      <w:tr w:rsidR="00B57282" w:rsidRPr="00B57282" w14:paraId="28EC2747" w14:textId="77777777" w:rsidTr="00B57282">
        <w:trPr>
          <w:trHeight w:val="300"/>
        </w:trPr>
        <w:tc>
          <w:tcPr>
            <w:tcW w:w="7180" w:type="dxa"/>
            <w:tcBorders>
              <w:top w:val="nil"/>
              <w:left w:val="nil"/>
              <w:bottom w:val="nil"/>
              <w:right w:val="nil"/>
            </w:tcBorders>
            <w:shd w:val="clear" w:color="auto" w:fill="auto"/>
            <w:noWrap/>
            <w:vAlign w:val="bottom"/>
            <w:hideMark/>
          </w:tcPr>
          <w:p w14:paraId="37D6078B" w14:textId="4D31A4D7" w:rsidR="00B57282" w:rsidRPr="00B57282" w:rsidRDefault="00B57282" w:rsidP="00B57282">
            <w:pPr>
              <w:spacing w:after="0" w:line="240" w:lineRule="auto"/>
              <w:rPr>
                <w:rFonts w:ascii="Calibri" w:eastAsia="Times New Roman" w:hAnsi="Calibri" w:cs="Calibri"/>
                <w:color w:val="000000"/>
                <w:lang w:eastAsia="nb-NO"/>
              </w:rPr>
            </w:pPr>
            <w:r w:rsidRPr="00B57282">
              <w:rPr>
                <w:rFonts w:ascii="Calibri" w:eastAsia="Times New Roman" w:hAnsi="Calibri" w:cs="Calibri"/>
                <w:color w:val="000000"/>
                <w:lang w:eastAsia="nb-NO"/>
              </w:rPr>
              <w:t>Cortison &gt;100 mg daglig</w:t>
            </w:r>
            <w:r w:rsidR="00F25878">
              <w:rPr>
                <w:rFonts w:ascii="Calibri" w:eastAsia="Times New Roman" w:hAnsi="Calibri" w:cs="Calibri"/>
                <w:color w:val="000000"/>
                <w:lang w:eastAsia="nb-NO"/>
              </w:rPr>
              <w:t xml:space="preserve">   </w:t>
            </w:r>
            <w:r w:rsidR="00F25878" w:rsidRPr="00F25878">
              <w:rPr>
                <w:rFonts w:ascii="Calibri" w:eastAsia="Times New Roman" w:hAnsi="Calibri" w:cs="Calibri"/>
                <w:b/>
                <w:color w:val="000000"/>
                <w:lang w:eastAsia="nb-NO"/>
              </w:rPr>
              <w:t>&gt;1mnd</w:t>
            </w:r>
          </w:p>
        </w:tc>
      </w:tr>
      <w:tr w:rsidR="00B57282" w:rsidRPr="00B57282" w14:paraId="02825FC0" w14:textId="77777777" w:rsidTr="00B57282">
        <w:trPr>
          <w:trHeight w:val="300"/>
        </w:trPr>
        <w:tc>
          <w:tcPr>
            <w:tcW w:w="7180" w:type="dxa"/>
            <w:tcBorders>
              <w:top w:val="nil"/>
              <w:left w:val="nil"/>
              <w:bottom w:val="nil"/>
              <w:right w:val="nil"/>
            </w:tcBorders>
            <w:shd w:val="clear" w:color="auto" w:fill="auto"/>
            <w:noWrap/>
            <w:vAlign w:val="bottom"/>
            <w:hideMark/>
          </w:tcPr>
          <w:p w14:paraId="06ABA916" w14:textId="3530C448" w:rsidR="00B57282" w:rsidRPr="00B57282" w:rsidRDefault="00B57282" w:rsidP="00B57282">
            <w:pPr>
              <w:spacing w:after="0" w:line="240" w:lineRule="auto"/>
              <w:rPr>
                <w:rFonts w:ascii="Calibri" w:eastAsia="Times New Roman" w:hAnsi="Calibri" w:cs="Calibri"/>
                <w:color w:val="000000"/>
                <w:lang w:eastAsia="nb-NO"/>
              </w:rPr>
            </w:pPr>
            <w:r w:rsidRPr="00B57282">
              <w:rPr>
                <w:rFonts w:ascii="Calibri" w:eastAsia="Times New Roman" w:hAnsi="Calibri" w:cs="Calibri"/>
                <w:color w:val="000000"/>
                <w:lang w:eastAsia="nb-NO"/>
              </w:rPr>
              <w:t>Cyclofosfamid (Sendoxan®)</w:t>
            </w:r>
            <w:r w:rsidR="00FF6753" w:rsidRPr="00A12008">
              <w:rPr>
                <w:rFonts w:ascii="Calibri" w:eastAsia="Times New Roman" w:hAnsi="Calibri" w:cs="Calibri"/>
                <w:color w:val="000000"/>
                <w:vertAlign w:val="superscript"/>
                <w:lang w:eastAsia="nb-NO"/>
              </w:rPr>
              <w:t>1</w:t>
            </w:r>
          </w:p>
        </w:tc>
      </w:tr>
      <w:tr w:rsidR="00B57282" w:rsidRPr="00B57282" w14:paraId="3C95F7FC" w14:textId="77777777" w:rsidTr="00B57282">
        <w:trPr>
          <w:trHeight w:val="300"/>
        </w:trPr>
        <w:tc>
          <w:tcPr>
            <w:tcW w:w="7180" w:type="dxa"/>
            <w:tcBorders>
              <w:top w:val="nil"/>
              <w:left w:val="nil"/>
              <w:bottom w:val="nil"/>
              <w:right w:val="nil"/>
            </w:tcBorders>
            <w:shd w:val="clear" w:color="auto" w:fill="auto"/>
            <w:noWrap/>
            <w:vAlign w:val="bottom"/>
            <w:hideMark/>
          </w:tcPr>
          <w:p w14:paraId="5EA00969" w14:textId="7E43FFAE" w:rsidR="00B57282" w:rsidRPr="00B57282" w:rsidRDefault="00B57282" w:rsidP="00B57282">
            <w:pPr>
              <w:spacing w:after="0" w:line="240" w:lineRule="auto"/>
              <w:rPr>
                <w:rFonts w:ascii="Calibri" w:eastAsia="Times New Roman" w:hAnsi="Calibri" w:cs="Calibri"/>
                <w:color w:val="000000"/>
                <w:lang w:eastAsia="nb-NO"/>
              </w:rPr>
            </w:pPr>
            <w:r w:rsidRPr="00B57282">
              <w:rPr>
                <w:rFonts w:ascii="Calibri" w:eastAsia="Times New Roman" w:hAnsi="Calibri" w:cs="Calibri"/>
                <w:color w:val="000000"/>
                <w:lang w:eastAsia="nb-NO"/>
              </w:rPr>
              <w:t>Dexametason &gt;= 3 mg daglig</w:t>
            </w:r>
            <w:r w:rsidR="00F25878">
              <w:rPr>
                <w:rFonts w:ascii="Calibri" w:eastAsia="Times New Roman" w:hAnsi="Calibri" w:cs="Calibri"/>
                <w:color w:val="000000"/>
                <w:lang w:eastAsia="nb-NO"/>
              </w:rPr>
              <w:t xml:space="preserve">   </w:t>
            </w:r>
            <w:r w:rsidR="00F25878" w:rsidRPr="00F25878">
              <w:rPr>
                <w:rFonts w:ascii="Calibri" w:eastAsia="Times New Roman" w:hAnsi="Calibri" w:cs="Calibri"/>
                <w:b/>
                <w:color w:val="000000"/>
                <w:lang w:eastAsia="nb-NO"/>
              </w:rPr>
              <w:t>&gt;1mnd</w:t>
            </w:r>
          </w:p>
        </w:tc>
      </w:tr>
      <w:tr w:rsidR="00B57282" w:rsidRPr="00B57282" w14:paraId="504EE2E8" w14:textId="77777777" w:rsidTr="00B57282">
        <w:trPr>
          <w:trHeight w:val="300"/>
        </w:trPr>
        <w:tc>
          <w:tcPr>
            <w:tcW w:w="7180" w:type="dxa"/>
            <w:tcBorders>
              <w:top w:val="nil"/>
              <w:left w:val="nil"/>
              <w:bottom w:val="nil"/>
              <w:right w:val="nil"/>
            </w:tcBorders>
            <w:shd w:val="clear" w:color="auto" w:fill="auto"/>
            <w:noWrap/>
            <w:vAlign w:val="bottom"/>
            <w:hideMark/>
          </w:tcPr>
          <w:p w14:paraId="39AA2B60" w14:textId="0FC8BA34" w:rsidR="00B57282" w:rsidRPr="00B57282" w:rsidRDefault="00B57282" w:rsidP="00B57282">
            <w:pPr>
              <w:spacing w:after="0" w:line="240" w:lineRule="auto"/>
              <w:rPr>
                <w:rFonts w:ascii="Calibri" w:eastAsia="Times New Roman" w:hAnsi="Calibri" w:cs="Calibri"/>
                <w:color w:val="000000"/>
                <w:lang w:eastAsia="nb-NO"/>
              </w:rPr>
            </w:pPr>
            <w:r w:rsidRPr="00B57282">
              <w:rPr>
                <w:rFonts w:ascii="Calibri" w:eastAsia="Times New Roman" w:hAnsi="Calibri" w:cs="Calibri"/>
                <w:color w:val="000000"/>
                <w:lang w:eastAsia="nb-NO"/>
              </w:rPr>
              <w:t>Eta</w:t>
            </w:r>
            <w:r w:rsidR="00856EC3">
              <w:rPr>
                <w:rFonts w:ascii="Calibri" w:eastAsia="Times New Roman" w:hAnsi="Calibri" w:cs="Calibri"/>
                <w:color w:val="000000"/>
                <w:lang w:eastAsia="nb-NO"/>
              </w:rPr>
              <w:t>n</w:t>
            </w:r>
            <w:r w:rsidRPr="00B57282">
              <w:rPr>
                <w:rFonts w:ascii="Calibri" w:eastAsia="Times New Roman" w:hAnsi="Calibri" w:cs="Calibri"/>
                <w:color w:val="000000"/>
                <w:lang w:eastAsia="nb-NO"/>
              </w:rPr>
              <w:t>erecept (Enbrel®, Benepali®)</w:t>
            </w:r>
          </w:p>
        </w:tc>
      </w:tr>
      <w:tr w:rsidR="00B57282" w:rsidRPr="00B57282" w14:paraId="76E5E00F" w14:textId="77777777" w:rsidTr="00B57282">
        <w:trPr>
          <w:trHeight w:val="300"/>
        </w:trPr>
        <w:tc>
          <w:tcPr>
            <w:tcW w:w="7180" w:type="dxa"/>
            <w:tcBorders>
              <w:top w:val="nil"/>
              <w:left w:val="nil"/>
              <w:bottom w:val="nil"/>
              <w:right w:val="nil"/>
            </w:tcBorders>
            <w:shd w:val="clear" w:color="auto" w:fill="auto"/>
            <w:noWrap/>
            <w:vAlign w:val="bottom"/>
            <w:hideMark/>
          </w:tcPr>
          <w:p w14:paraId="7D63C0BC" w14:textId="77777777" w:rsidR="00B57282" w:rsidRPr="00B57282" w:rsidRDefault="00B57282" w:rsidP="00B57282">
            <w:pPr>
              <w:spacing w:after="0" w:line="240" w:lineRule="auto"/>
              <w:rPr>
                <w:rFonts w:ascii="Calibri" w:eastAsia="Times New Roman" w:hAnsi="Calibri" w:cs="Calibri"/>
                <w:color w:val="000000"/>
                <w:lang w:eastAsia="nb-NO"/>
              </w:rPr>
            </w:pPr>
            <w:r w:rsidRPr="00B57282">
              <w:rPr>
                <w:rFonts w:ascii="Calibri" w:eastAsia="Times New Roman" w:hAnsi="Calibri" w:cs="Calibri"/>
                <w:color w:val="000000"/>
                <w:lang w:eastAsia="nb-NO"/>
              </w:rPr>
              <w:t xml:space="preserve">Filgotinib (Jyseleca®) </w:t>
            </w:r>
          </w:p>
        </w:tc>
      </w:tr>
      <w:tr w:rsidR="00B57282" w:rsidRPr="00B57282" w14:paraId="61CFF378" w14:textId="77777777" w:rsidTr="00B57282">
        <w:trPr>
          <w:trHeight w:val="300"/>
        </w:trPr>
        <w:tc>
          <w:tcPr>
            <w:tcW w:w="7180" w:type="dxa"/>
            <w:tcBorders>
              <w:top w:val="nil"/>
              <w:left w:val="nil"/>
              <w:bottom w:val="nil"/>
              <w:right w:val="nil"/>
            </w:tcBorders>
            <w:shd w:val="clear" w:color="auto" w:fill="auto"/>
            <w:noWrap/>
            <w:vAlign w:val="bottom"/>
            <w:hideMark/>
          </w:tcPr>
          <w:p w14:paraId="6BD191B6" w14:textId="77777777" w:rsidR="00B57282" w:rsidRPr="00B57282" w:rsidRDefault="00B57282" w:rsidP="00B57282">
            <w:pPr>
              <w:spacing w:after="0" w:line="240" w:lineRule="auto"/>
              <w:rPr>
                <w:rFonts w:ascii="Calibri" w:eastAsia="Times New Roman" w:hAnsi="Calibri" w:cs="Calibri"/>
                <w:color w:val="000000"/>
                <w:lang w:eastAsia="nb-NO"/>
              </w:rPr>
            </w:pPr>
            <w:r w:rsidRPr="00B57282">
              <w:rPr>
                <w:rFonts w:ascii="Calibri" w:eastAsia="Times New Roman" w:hAnsi="Calibri" w:cs="Calibri"/>
                <w:color w:val="000000"/>
                <w:lang w:eastAsia="nb-NO"/>
              </w:rPr>
              <w:t>Fingolimod (Gilenya®)</w:t>
            </w:r>
          </w:p>
        </w:tc>
      </w:tr>
      <w:tr w:rsidR="00B57282" w:rsidRPr="00B57282" w14:paraId="297BD5E9" w14:textId="77777777" w:rsidTr="00B57282">
        <w:trPr>
          <w:trHeight w:val="300"/>
        </w:trPr>
        <w:tc>
          <w:tcPr>
            <w:tcW w:w="7180" w:type="dxa"/>
            <w:tcBorders>
              <w:top w:val="nil"/>
              <w:left w:val="nil"/>
              <w:bottom w:val="nil"/>
              <w:right w:val="nil"/>
            </w:tcBorders>
            <w:shd w:val="clear" w:color="auto" w:fill="auto"/>
            <w:noWrap/>
            <w:vAlign w:val="bottom"/>
            <w:hideMark/>
          </w:tcPr>
          <w:p w14:paraId="01BC2248" w14:textId="77777777" w:rsidR="00B57282" w:rsidRPr="00B57282" w:rsidRDefault="00B57282" w:rsidP="00B57282">
            <w:pPr>
              <w:spacing w:after="0" w:line="240" w:lineRule="auto"/>
              <w:rPr>
                <w:rFonts w:ascii="Calibri" w:eastAsia="Times New Roman" w:hAnsi="Calibri" w:cs="Calibri"/>
                <w:color w:val="000000"/>
                <w:lang w:eastAsia="nb-NO"/>
              </w:rPr>
            </w:pPr>
            <w:r w:rsidRPr="00B57282">
              <w:rPr>
                <w:rFonts w:ascii="Calibri" w:eastAsia="Times New Roman" w:hAnsi="Calibri" w:cs="Calibri"/>
                <w:color w:val="000000"/>
                <w:lang w:eastAsia="nb-NO"/>
              </w:rPr>
              <w:t>Golilumab (Simponi®)</w:t>
            </w:r>
          </w:p>
        </w:tc>
      </w:tr>
      <w:tr w:rsidR="00B57282" w:rsidRPr="00B57282" w14:paraId="79CE0895" w14:textId="77777777" w:rsidTr="00B57282">
        <w:trPr>
          <w:trHeight w:val="300"/>
        </w:trPr>
        <w:tc>
          <w:tcPr>
            <w:tcW w:w="7180" w:type="dxa"/>
            <w:tcBorders>
              <w:top w:val="nil"/>
              <w:left w:val="nil"/>
              <w:bottom w:val="nil"/>
              <w:right w:val="nil"/>
            </w:tcBorders>
            <w:shd w:val="clear" w:color="auto" w:fill="auto"/>
            <w:noWrap/>
            <w:vAlign w:val="bottom"/>
            <w:hideMark/>
          </w:tcPr>
          <w:p w14:paraId="0ECA1681" w14:textId="77777777" w:rsidR="00B57282" w:rsidRPr="00B57282" w:rsidRDefault="00B57282" w:rsidP="00B57282">
            <w:pPr>
              <w:spacing w:after="0" w:line="240" w:lineRule="auto"/>
              <w:rPr>
                <w:rFonts w:ascii="Calibri" w:eastAsia="Times New Roman" w:hAnsi="Calibri" w:cs="Calibri"/>
                <w:color w:val="000000"/>
                <w:lang w:eastAsia="nb-NO"/>
              </w:rPr>
            </w:pPr>
            <w:r w:rsidRPr="00B57282">
              <w:rPr>
                <w:rFonts w:ascii="Calibri" w:eastAsia="Times New Roman" w:hAnsi="Calibri" w:cs="Calibri"/>
                <w:color w:val="000000"/>
                <w:lang w:eastAsia="nb-NO"/>
              </w:rPr>
              <w:t xml:space="preserve">Guselkumab (Tremfya®) </w:t>
            </w:r>
          </w:p>
        </w:tc>
      </w:tr>
      <w:tr w:rsidR="00B57282" w:rsidRPr="00B57282" w14:paraId="6D6F2AE6" w14:textId="77777777" w:rsidTr="00B57282">
        <w:trPr>
          <w:trHeight w:val="300"/>
        </w:trPr>
        <w:tc>
          <w:tcPr>
            <w:tcW w:w="7180" w:type="dxa"/>
            <w:tcBorders>
              <w:top w:val="nil"/>
              <w:left w:val="nil"/>
              <w:bottom w:val="nil"/>
              <w:right w:val="nil"/>
            </w:tcBorders>
            <w:shd w:val="clear" w:color="auto" w:fill="auto"/>
            <w:noWrap/>
            <w:vAlign w:val="bottom"/>
            <w:hideMark/>
          </w:tcPr>
          <w:p w14:paraId="702C4565" w14:textId="545A9589" w:rsidR="00B57282" w:rsidRPr="00B57282" w:rsidRDefault="00B57282" w:rsidP="00B57282">
            <w:pPr>
              <w:spacing w:after="0" w:line="240" w:lineRule="auto"/>
              <w:rPr>
                <w:rFonts w:ascii="Calibri" w:eastAsia="Times New Roman" w:hAnsi="Calibri" w:cs="Calibri"/>
                <w:color w:val="000000"/>
                <w:lang w:eastAsia="nb-NO"/>
              </w:rPr>
            </w:pPr>
            <w:r w:rsidRPr="00B57282">
              <w:rPr>
                <w:rFonts w:ascii="Calibri" w:eastAsia="Times New Roman" w:hAnsi="Calibri" w:cs="Calibri"/>
                <w:color w:val="000000"/>
                <w:lang w:eastAsia="nb-NO"/>
              </w:rPr>
              <w:t>Hydrocortison &gt;= 80 mg  daglig</w:t>
            </w:r>
            <w:r w:rsidR="00F25878">
              <w:rPr>
                <w:rFonts w:ascii="Calibri" w:eastAsia="Times New Roman" w:hAnsi="Calibri" w:cs="Calibri"/>
                <w:color w:val="000000"/>
                <w:lang w:eastAsia="nb-NO"/>
              </w:rPr>
              <w:t xml:space="preserve">  </w:t>
            </w:r>
            <w:r w:rsidR="00F25878" w:rsidRPr="00F25878">
              <w:rPr>
                <w:rFonts w:ascii="Calibri" w:eastAsia="Times New Roman" w:hAnsi="Calibri" w:cs="Calibri"/>
                <w:b/>
                <w:color w:val="000000"/>
                <w:lang w:eastAsia="nb-NO"/>
              </w:rPr>
              <w:t>&gt;1mnd</w:t>
            </w:r>
          </w:p>
        </w:tc>
      </w:tr>
      <w:tr w:rsidR="00B57282" w:rsidRPr="00B57282" w14:paraId="5B5099BD" w14:textId="77777777" w:rsidTr="00B57282">
        <w:trPr>
          <w:trHeight w:val="300"/>
        </w:trPr>
        <w:tc>
          <w:tcPr>
            <w:tcW w:w="7180" w:type="dxa"/>
            <w:tcBorders>
              <w:top w:val="nil"/>
              <w:left w:val="nil"/>
              <w:bottom w:val="nil"/>
              <w:right w:val="nil"/>
            </w:tcBorders>
            <w:shd w:val="clear" w:color="auto" w:fill="auto"/>
            <w:noWrap/>
            <w:vAlign w:val="bottom"/>
            <w:hideMark/>
          </w:tcPr>
          <w:p w14:paraId="5CCDB975" w14:textId="77777777" w:rsidR="00B57282" w:rsidRPr="00B57282" w:rsidRDefault="00B57282" w:rsidP="00B57282">
            <w:pPr>
              <w:spacing w:after="0" w:line="240" w:lineRule="auto"/>
              <w:rPr>
                <w:rFonts w:ascii="Calibri" w:eastAsia="Times New Roman" w:hAnsi="Calibri" w:cs="Calibri"/>
                <w:color w:val="000000"/>
                <w:lang w:eastAsia="nb-NO"/>
              </w:rPr>
            </w:pPr>
            <w:r w:rsidRPr="00B57282">
              <w:rPr>
                <w:rFonts w:ascii="Calibri" w:eastAsia="Times New Roman" w:hAnsi="Calibri" w:cs="Calibri"/>
                <w:color w:val="000000"/>
                <w:lang w:eastAsia="nb-NO"/>
              </w:rPr>
              <w:t>Iksekizumab (Talz®)</w:t>
            </w:r>
          </w:p>
        </w:tc>
      </w:tr>
      <w:tr w:rsidR="00B57282" w:rsidRPr="00893C6A" w14:paraId="734C9577" w14:textId="77777777" w:rsidTr="00B57282">
        <w:trPr>
          <w:trHeight w:val="300"/>
        </w:trPr>
        <w:tc>
          <w:tcPr>
            <w:tcW w:w="7180" w:type="dxa"/>
            <w:tcBorders>
              <w:top w:val="nil"/>
              <w:left w:val="nil"/>
              <w:bottom w:val="nil"/>
              <w:right w:val="nil"/>
            </w:tcBorders>
            <w:shd w:val="clear" w:color="auto" w:fill="auto"/>
            <w:noWrap/>
            <w:vAlign w:val="bottom"/>
            <w:hideMark/>
          </w:tcPr>
          <w:p w14:paraId="3E26D881" w14:textId="240907ED" w:rsidR="00B57282" w:rsidRPr="00525C03" w:rsidRDefault="00B57282" w:rsidP="00B57282">
            <w:pPr>
              <w:spacing w:after="0" w:line="240" w:lineRule="auto"/>
              <w:rPr>
                <w:rFonts w:ascii="Calibri" w:eastAsia="Times New Roman" w:hAnsi="Calibri" w:cs="Calibri"/>
                <w:color w:val="000000"/>
                <w:vertAlign w:val="superscript"/>
                <w:lang w:val="en-US" w:eastAsia="nb-NO"/>
              </w:rPr>
            </w:pPr>
            <w:r w:rsidRPr="00525C03">
              <w:rPr>
                <w:rFonts w:ascii="Calibri" w:eastAsia="Times New Roman" w:hAnsi="Calibri" w:cs="Calibri"/>
                <w:color w:val="000000"/>
                <w:lang w:val="en-US" w:eastAsia="nb-NO"/>
              </w:rPr>
              <w:t>Infliximab (Remicade®, Remsima®, Zessly®, Inflectra®, F</w:t>
            </w:r>
            <w:r w:rsidR="00A51CD7">
              <w:rPr>
                <w:rFonts w:ascii="Calibri" w:eastAsia="Times New Roman" w:hAnsi="Calibri" w:cs="Calibri"/>
                <w:color w:val="000000"/>
                <w:lang w:val="en-US" w:eastAsia="nb-NO"/>
              </w:rPr>
              <w:t>le</w:t>
            </w:r>
            <w:r w:rsidRPr="00525C03">
              <w:rPr>
                <w:rFonts w:ascii="Calibri" w:eastAsia="Times New Roman" w:hAnsi="Calibri" w:cs="Calibri"/>
                <w:color w:val="000000"/>
                <w:lang w:val="en-US" w:eastAsia="nb-NO"/>
              </w:rPr>
              <w:t>xabi®)</w:t>
            </w:r>
            <w:r w:rsidR="00FF6753">
              <w:rPr>
                <w:rFonts w:ascii="Calibri" w:eastAsia="Times New Roman" w:hAnsi="Calibri" w:cs="Calibri"/>
                <w:color w:val="000000"/>
                <w:vertAlign w:val="superscript"/>
                <w:lang w:val="en-US" w:eastAsia="nb-NO"/>
              </w:rPr>
              <w:t>2</w:t>
            </w:r>
          </w:p>
        </w:tc>
      </w:tr>
      <w:tr w:rsidR="00B57282" w:rsidRPr="00B57282" w14:paraId="34F954C8" w14:textId="77777777" w:rsidTr="00B57282">
        <w:trPr>
          <w:trHeight w:val="300"/>
        </w:trPr>
        <w:tc>
          <w:tcPr>
            <w:tcW w:w="7180" w:type="dxa"/>
            <w:tcBorders>
              <w:top w:val="nil"/>
              <w:left w:val="nil"/>
              <w:bottom w:val="nil"/>
              <w:right w:val="nil"/>
            </w:tcBorders>
            <w:shd w:val="clear" w:color="auto" w:fill="auto"/>
            <w:noWrap/>
            <w:vAlign w:val="bottom"/>
            <w:hideMark/>
          </w:tcPr>
          <w:p w14:paraId="58B50E7A" w14:textId="77777777" w:rsidR="00B57282" w:rsidRPr="00B57282" w:rsidRDefault="00B57282" w:rsidP="00B57282">
            <w:pPr>
              <w:spacing w:after="0" w:line="240" w:lineRule="auto"/>
              <w:rPr>
                <w:rFonts w:ascii="Calibri" w:eastAsia="Times New Roman" w:hAnsi="Calibri" w:cs="Calibri"/>
                <w:color w:val="000000"/>
                <w:lang w:eastAsia="nb-NO"/>
              </w:rPr>
            </w:pPr>
            <w:r w:rsidRPr="00B57282">
              <w:rPr>
                <w:rFonts w:ascii="Calibri" w:eastAsia="Times New Roman" w:hAnsi="Calibri" w:cs="Calibri"/>
                <w:color w:val="000000"/>
                <w:lang w:eastAsia="nb-NO"/>
              </w:rPr>
              <w:t>Leflunomid (Arava®)</w:t>
            </w:r>
          </w:p>
        </w:tc>
      </w:tr>
      <w:tr w:rsidR="00B57282" w:rsidRPr="00B57282" w14:paraId="7B050620" w14:textId="77777777" w:rsidTr="00B57282">
        <w:trPr>
          <w:trHeight w:val="300"/>
        </w:trPr>
        <w:tc>
          <w:tcPr>
            <w:tcW w:w="7180" w:type="dxa"/>
            <w:tcBorders>
              <w:top w:val="nil"/>
              <w:left w:val="nil"/>
              <w:bottom w:val="nil"/>
              <w:right w:val="nil"/>
            </w:tcBorders>
            <w:shd w:val="clear" w:color="auto" w:fill="auto"/>
            <w:noWrap/>
            <w:vAlign w:val="bottom"/>
            <w:hideMark/>
          </w:tcPr>
          <w:p w14:paraId="349609DC" w14:textId="0981DE4D" w:rsidR="00B57282" w:rsidRPr="00B57282" w:rsidRDefault="00B57282" w:rsidP="000A4BC1">
            <w:pPr>
              <w:spacing w:after="0" w:line="240" w:lineRule="auto"/>
              <w:rPr>
                <w:rFonts w:ascii="Calibri" w:eastAsia="Times New Roman" w:hAnsi="Calibri" w:cs="Calibri"/>
                <w:color w:val="000000"/>
                <w:lang w:eastAsia="nb-NO"/>
              </w:rPr>
            </w:pPr>
            <w:r w:rsidRPr="00B57282">
              <w:rPr>
                <w:rFonts w:ascii="Calibri" w:eastAsia="Times New Roman" w:hAnsi="Calibri" w:cs="Calibri"/>
                <w:color w:val="000000"/>
                <w:lang w:eastAsia="nb-NO"/>
              </w:rPr>
              <w:t>Metotre</w:t>
            </w:r>
            <w:r w:rsidR="004C564E">
              <w:rPr>
                <w:rFonts w:ascii="Calibri" w:eastAsia="Times New Roman" w:hAnsi="Calibri" w:cs="Calibri"/>
                <w:color w:val="000000"/>
                <w:lang w:eastAsia="nb-NO"/>
              </w:rPr>
              <w:t>ks</w:t>
            </w:r>
            <w:r w:rsidRPr="00B57282">
              <w:rPr>
                <w:rFonts w:ascii="Calibri" w:eastAsia="Times New Roman" w:hAnsi="Calibri" w:cs="Calibri"/>
                <w:color w:val="000000"/>
                <w:lang w:eastAsia="nb-NO"/>
              </w:rPr>
              <w:t>at (Metex®</w:t>
            </w:r>
            <w:r w:rsidR="000A4BC1">
              <w:rPr>
                <w:rFonts w:ascii="Calibri" w:eastAsia="Times New Roman" w:hAnsi="Calibri" w:cs="Calibri"/>
                <w:color w:val="000000"/>
                <w:lang w:eastAsia="nb-NO"/>
              </w:rPr>
              <w:t>,</w:t>
            </w:r>
            <w:r w:rsidR="004C564E">
              <w:rPr>
                <w:rFonts w:ascii="Calibri" w:eastAsia="Times New Roman" w:hAnsi="Calibri" w:cs="Calibri"/>
                <w:color w:val="000000"/>
                <w:lang w:eastAsia="nb-NO"/>
              </w:rPr>
              <w:t xml:space="preserve"> Methotrexat, Ebetrex</w:t>
            </w:r>
            <w:r w:rsidR="000A4BC1" w:rsidRPr="00B57282">
              <w:rPr>
                <w:rFonts w:ascii="Calibri" w:eastAsia="Times New Roman" w:hAnsi="Calibri" w:cs="Calibri"/>
                <w:color w:val="000000"/>
                <w:lang w:eastAsia="nb-NO"/>
              </w:rPr>
              <w:t>®</w:t>
            </w:r>
            <w:r w:rsidRPr="00B57282">
              <w:rPr>
                <w:rFonts w:ascii="Calibri" w:eastAsia="Times New Roman" w:hAnsi="Calibri" w:cs="Calibri"/>
                <w:color w:val="000000"/>
                <w:lang w:eastAsia="nb-NO"/>
              </w:rPr>
              <w:t>)</w:t>
            </w:r>
          </w:p>
        </w:tc>
      </w:tr>
      <w:tr w:rsidR="00B57282" w:rsidRPr="00B57282" w14:paraId="580E8F40" w14:textId="77777777" w:rsidTr="00B57282">
        <w:trPr>
          <w:trHeight w:val="300"/>
        </w:trPr>
        <w:tc>
          <w:tcPr>
            <w:tcW w:w="7180" w:type="dxa"/>
            <w:tcBorders>
              <w:top w:val="nil"/>
              <w:left w:val="nil"/>
              <w:bottom w:val="nil"/>
              <w:right w:val="nil"/>
            </w:tcBorders>
            <w:shd w:val="clear" w:color="auto" w:fill="auto"/>
            <w:noWrap/>
            <w:vAlign w:val="bottom"/>
            <w:hideMark/>
          </w:tcPr>
          <w:p w14:paraId="0AC8E53A" w14:textId="56F7ED5E" w:rsidR="00B57282" w:rsidRPr="00B57282" w:rsidRDefault="00B57282" w:rsidP="00B57282">
            <w:pPr>
              <w:spacing w:after="0" w:line="240" w:lineRule="auto"/>
              <w:rPr>
                <w:rFonts w:ascii="Calibri" w:eastAsia="Times New Roman" w:hAnsi="Calibri" w:cs="Calibri"/>
                <w:color w:val="000000"/>
                <w:lang w:eastAsia="nb-NO"/>
              </w:rPr>
            </w:pPr>
            <w:r w:rsidRPr="00B57282">
              <w:rPr>
                <w:rFonts w:ascii="Calibri" w:eastAsia="Times New Roman" w:hAnsi="Calibri" w:cs="Calibri"/>
                <w:color w:val="000000"/>
                <w:lang w:eastAsia="nb-NO"/>
              </w:rPr>
              <w:t>Metylprednisolon &gt;= 16 mg daglig</w:t>
            </w:r>
            <w:r w:rsidR="00F25878">
              <w:rPr>
                <w:rFonts w:ascii="Calibri" w:eastAsia="Times New Roman" w:hAnsi="Calibri" w:cs="Calibri"/>
                <w:color w:val="000000"/>
                <w:lang w:eastAsia="nb-NO"/>
              </w:rPr>
              <w:t xml:space="preserve">  </w:t>
            </w:r>
            <w:r w:rsidR="00F25878" w:rsidRPr="00F25878">
              <w:rPr>
                <w:rFonts w:ascii="Calibri" w:eastAsia="Times New Roman" w:hAnsi="Calibri" w:cs="Calibri"/>
                <w:b/>
                <w:color w:val="000000"/>
                <w:lang w:eastAsia="nb-NO"/>
              </w:rPr>
              <w:t>&gt;1mnd</w:t>
            </w:r>
          </w:p>
        </w:tc>
      </w:tr>
      <w:tr w:rsidR="00B57282" w:rsidRPr="00B57282" w14:paraId="5E0994FA" w14:textId="77777777" w:rsidTr="00B57282">
        <w:trPr>
          <w:trHeight w:val="300"/>
        </w:trPr>
        <w:tc>
          <w:tcPr>
            <w:tcW w:w="7180" w:type="dxa"/>
            <w:tcBorders>
              <w:top w:val="nil"/>
              <w:left w:val="nil"/>
              <w:bottom w:val="nil"/>
              <w:right w:val="nil"/>
            </w:tcBorders>
            <w:shd w:val="clear" w:color="auto" w:fill="auto"/>
            <w:noWrap/>
            <w:vAlign w:val="bottom"/>
            <w:hideMark/>
          </w:tcPr>
          <w:p w14:paraId="419A7865" w14:textId="77777777" w:rsidR="00B57282" w:rsidRPr="00B57282" w:rsidRDefault="00B57282" w:rsidP="00B57282">
            <w:pPr>
              <w:spacing w:after="0" w:line="240" w:lineRule="auto"/>
              <w:rPr>
                <w:rFonts w:ascii="Calibri" w:eastAsia="Times New Roman" w:hAnsi="Calibri" w:cs="Calibri"/>
                <w:color w:val="000000"/>
                <w:lang w:eastAsia="nb-NO"/>
              </w:rPr>
            </w:pPr>
            <w:r w:rsidRPr="00B57282">
              <w:rPr>
                <w:rFonts w:ascii="Calibri" w:eastAsia="Times New Roman" w:hAnsi="Calibri" w:cs="Calibri"/>
                <w:color w:val="000000"/>
                <w:lang w:eastAsia="nb-NO"/>
              </w:rPr>
              <w:t>Mykofenolat (Cellcept®)</w:t>
            </w:r>
          </w:p>
        </w:tc>
      </w:tr>
      <w:tr w:rsidR="00525C03" w:rsidRPr="00B57282" w14:paraId="7F82A6E7" w14:textId="77777777" w:rsidTr="00525C03">
        <w:trPr>
          <w:trHeight w:val="134"/>
        </w:trPr>
        <w:tc>
          <w:tcPr>
            <w:tcW w:w="7180" w:type="dxa"/>
            <w:tcBorders>
              <w:top w:val="nil"/>
              <w:left w:val="nil"/>
              <w:bottom w:val="nil"/>
              <w:right w:val="nil"/>
            </w:tcBorders>
            <w:shd w:val="clear" w:color="auto" w:fill="auto"/>
            <w:noWrap/>
            <w:vAlign w:val="bottom"/>
          </w:tcPr>
          <w:p w14:paraId="24161DD1" w14:textId="5639E339" w:rsidR="00525C03" w:rsidRPr="00525C03" w:rsidRDefault="00525C03" w:rsidP="00525C03">
            <w:pPr>
              <w:spacing w:line="240" w:lineRule="auto"/>
            </w:pPr>
            <w:r>
              <w:t>Okrelizumab (Ocrevus</w:t>
            </w:r>
            <w:r w:rsidRPr="00B83959">
              <w:rPr>
                <w:rFonts w:cstheme="minorHAnsi"/>
              </w:rPr>
              <w:t>®</w:t>
            </w:r>
            <w:r>
              <w:t xml:space="preserve">) </w:t>
            </w:r>
            <w:r w:rsidRPr="00525C03">
              <w:rPr>
                <w:vertAlign w:val="superscript"/>
              </w:rPr>
              <w:t xml:space="preserve"> 2</w:t>
            </w:r>
            <w:r w:rsidR="00FF6753">
              <w:rPr>
                <w:vertAlign w:val="superscript"/>
              </w:rPr>
              <w:t>,3</w:t>
            </w:r>
          </w:p>
        </w:tc>
      </w:tr>
      <w:tr w:rsidR="00B57282" w:rsidRPr="00B57282" w14:paraId="7DAE55F1" w14:textId="77777777" w:rsidTr="00B57282">
        <w:trPr>
          <w:trHeight w:val="300"/>
        </w:trPr>
        <w:tc>
          <w:tcPr>
            <w:tcW w:w="7180" w:type="dxa"/>
            <w:tcBorders>
              <w:top w:val="nil"/>
              <w:left w:val="nil"/>
              <w:bottom w:val="nil"/>
              <w:right w:val="nil"/>
            </w:tcBorders>
            <w:shd w:val="clear" w:color="auto" w:fill="auto"/>
            <w:noWrap/>
            <w:vAlign w:val="bottom"/>
            <w:hideMark/>
          </w:tcPr>
          <w:p w14:paraId="0849437A" w14:textId="77777777" w:rsidR="00B57282" w:rsidRPr="00B57282" w:rsidRDefault="00B57282" w:rsidP="00525C03">
            <w:pPr>
              <w:spacing w:after="0" w:line="240" w:lineRule="auto"/>
              <w:rPr>
                <w:rFonts w:ascii="Calibri" w:eastAsia="Times New Roman" w:hAnsi="Calibri" w:cs="Calibri"/>
                <w:color w:val="000000"/>
                <w:lang w:eastAsia="nb-NO"/>
              </w:rPr>
            </w:pPr>
            <w:r w:rsidRPr="00B57282">
              <w:rPr>
                <w:rFonts w:ascii="Calibri" w:eastAsia="Times New Roman" w:hAnsi="Calibri" w:cs="Calibri"/>
                <w:color w:val="000000"/>
                <w:lang w:eastAsia="nb-NO"/>
              </w:rPr>
              <w:t>Omalizumab (Xolair®)</w:t>
            </w:r>
          </w:p>
        </w:tc>
      </w:tr>
      <w:tr w:rsidR="00B57282" w:rsidRPr="00B57282" w14:paraId="10958A75" w14:textId="77777777" w:rsidTr="00B57282">
        <w:trPr>
          <w:trHeight w:val="300"/>
        </w:trPr>
        <w:tc>
          <w:tcPr>
            <w:tcW w:w="7180" w:type="dxa"/>
            <w:tcBorders>
              <w:top w:val="nil"/>
              <w:left w:val="nil"/>
              <w:bottom w:val="nil"/>
              <w:right w:val="nil"/>
            </w:tcBorders>
            <w:shd w:val="clear" w:color="auto" w:fill="auto"/>
            <w:noWrap/>
            <w:vAlign w:val="bottom"/>
            <w:hideMark/>
          </w:tcPr>
          <w:p w14:paraId="2423E85A" w14:textId="77777777" w:rsidR="00B57282" w:rsidRPr="00B57282" w:rsidRDefault="00B57282" w:rsidP="00525C03">
            <w:pPr>
              <w:spacing w:after="0" w:line="240" w:lineRule="auto"/>
              <w:rPr>
                <w:rFonts w:ascii="Calibri" w:eastAsia="Times New Roman" w:hAnsi="Calibri" w:cs="Calibri"/>
                <w:color w:val="000000"/>
                <w:lang w:eastAsia="nb-NO"/>
              </w:rPr>
            </w:pPr>
            <w:r w:rsidRPr="00B57282">
              <w:rPr>
                <w:rFonts w:ascii="Calibri" w:eastAsia="Times New Roman" w:hAnsi="Calibri" w:cs="Calibri"/>
                <w:color w:val="000000"/>
                <w:lang w:eastAsia="nb-NO"/>
              </w:rPr>
              <w:t>Ozanimod (Zeposia®)</w:t>
            </w:r>
          </w:p>
        </w:tc>
      </w:tr>
      <w:tr w:rsidR="00B57282" w:rsidRPr="00B57282" w14:paraId="54D950BE" w14:textId="77777777" w:rsidTr="00B57282">
        <w:trPr>
          <w:trHeight w:val="300"/>
        </w:trPr>
        <w:tc>
          <w:tcPr>
            <w:tcW w:w="7180" w:type="dxa"/>
            <w:tcBorders>
              <w:top w:val="nil"/>
              <w:left w:val="nil"/>
              <w:bottom w:val="nil"/>
              <w:right w:val="nil"/>
            </w:tcBorders>
            <w:shd w:val="clear" w:color="auto" w:fill="auto"/>
            <w:noWrap/>
            <w:vAlign w:val="bottom"/>
            <w:hideMark/>
          </w:tcPr>
          <w:p w14:paraId="53ED621A" w14:textId="3CC3D863" w:rsidR="00B57282" w:rsidRPr="00B57282" w:rsidRDefault="00B57282" w:rsidP="00525C03">
            <w:pPr>
              <w:spacing w:after="0" w:line="240" w:lineRule="auto"/>
              <w:rPr>
                <w:rFonts w:ascii="Calibri" w:eastAsia="Times New Roman" w:hAnsi="Calibri" w:cs="Calibri"/>
                <w:color w:val="000000"/>
                <w:lang w:eastAsia="nb-NO"/>
              </w:rPr>
            </w:pPr>
            <w:r w:rsidRPr="00B57282">
              <w:rPr>
                <w:rFonts w:ascii="Calibri" w:eastAsia="Times New Roman" w:hAnsi="Calibri" w:cs="Calibri"/>
                <w:color w:val="000000"/>
                <w:lang w:eastAsia="nb-NO"/>
              </w:rPr>
              <w:t>Prednisolon &gt;= 20 mg daglig    </w:t>
            </w:r>
            <w:r w:rsidR="00F25878" w:rsidRPr="00F25878">
              <w:rPr>
                <w:rFonts w:ascii="Calibri" w:eastAsia="Times New Roman" w:hAnsi="Calibri" w:cs="Calibri"/>
                <w:b/>
                <w:color w:val="000000"/>
                <w:lang w:eastAsia="nb-NO"/>
              </w:rPr>
              <w:t>&gt;1 mnd</w:t>
            </w:r>
          </w:p>
        </w:tc>
      </w:tr>
      <w:tr w:rsidR="00B57282" w:rsidRPr="00B57282" w14:paraId="0AB2AA3C" w14:textId="77777777" w:rsidTr="00B57282">
        <w:trPr>
          <w:trHeight w:val="300"/>
        </w:trPr>
        <w:tc>
          <w:tcPr>
            <w:tcW w:w="7180" w:type="dxa"/>
            <w:tcBorders>
              <w:top w:val="nil"/>
              <w:left w:val="nil"/>
              <w:bottom w:val="nil"/>
              <w:right w:val="nil"/>
            </w:tcBorders>
            <w:shd w:val="clear" w:color="auto" w:fill="auto"/>
            <w:noWrap/>
            <w:vAlign w:val="bottom"/>
            <w:hideMark/>
          </w:tcPr>
          <w:p w14:paraId="575C4AE9" w14:textId="77777777" w:rsidR="00B57282" w:rsidRPr="00B57282" w:rsidRDefault="00B57282" w:rsidP="00525C03">
            <w:pPr>
              <w:spacing w:after="0" w:line="240" w:lineRule="auto"/>
              <w:rPr>
                <w:rFonts w:ascii="Calibri" w:eastAsia="Times New Roman" w:hAnsi="Calibri" w:cs="Calibri"/>
                <w:color w:val="000000"/>
                <w:lang w:eastAsia="nb-NO"/>
              </w:rPr>
            </w:pPr>
            <w:r w:rsidRPr="00B57282">
              <w:rPr>
                <w:rFonts w:ascii="Calibri" w:eastAsia="Times New Roman" w:hAnsi="Calibri" w:cs="Calibri"/>
                <w:color w:val="000000"/>
                <w:lang w:eastAsia="nb-NO"/>
              </w:rPr>
              <w:t>Risankizumab (Skyrizi®)</w:t>
            </w:r>
          </w:p>
        </w:tc>
      </w:tr>
      <w:tr w:rsidR="00525C03" w:rsidRPr="00B57282" w14:paraId="4146ACEF" w14:textId="77777777" w:rsidTr="00B57282">
        <w:trPr>
          <w:trHeight w:val="300"/>
        </w:trPr>
        <w:tc>
          <w:tcPr>
            <w:tcW w:w="7180" w:type="dxa"/>
            <w:tcBorders>
              <w:top w:val="nil"/>
              <w:left w:val="nil"/>
              <w:bottom w:val="nil"/>
              <w:right w:val="nil"/>
            </w:tcBorders>
            <w:shd w:val="clear" w:color="auto" w:fill="auto"/>
            <w:noWrap/>
            <w:vAlign w:val="bottom"/>
          </w:tcPr>
          <w:p w14:paraId="7ACA630C" w14:textId="05CEE4D7" w:rsidR="00525C03" w:rsidRPr="00525C03" w:rsidRDefault="00525C03" w:rsidP="00525C03">
            <w:pPr>
              <w:spacing w:line="240" w:lineRule="auto"/>
              <w:rPr>
                <w:vertAlign w:val="superscript"/>
              </w:rPr>
            </w:pPr>
            <w:r>
              <w:t>Rituksimab (MabThera</w:t>
            </w:r>
            <w:r w:rsidRPr="00B83959">
              <w:rPr>
                <w:rFonts w:cstheme="minorHAnsi"/>
              </w:rPr>
              <w:t>®</w:t>
            </w:r>
            <w:r>
              <w:t>, Rixathon</w:t>
            </w:r>
            <w:r w:rsidRPr="00B83959">
              <w:rPr>
                <w:rFonts w:cstheme="minorHAnsi"/>
              </w:rPr>
              <w:t>®)</w:t>
            </w:r>
            <w:r>
              <w:rPr>
                <w:vertAlign w:val="superscript"/>
              </w:rPr>
              <w:t>2</w:t>
            </w:r>
            <w:r w:rsidR="00FF6753">
              <w:rPr>
                <w:vertAlign w:val="superscript"/>
              </w:rPr>
              <w:t>,3</w:t>
            </w:r>
          </w:p>
        </w:tc>
      </w:tr>
      <w:tr w:rsidR="00B57282" w:rsidRPr="00B57282" w14:paraId="4D477EC4" w14:textId="77777777" w:rsidTr="00B57282">
        <w:trPr>
          <w:trHeight w:val="300"/>
        </w:trPr>
        <w:tc>
          <w:tcPr>
            <w:tcW w:w="7180" w:type="dxa"/>
            <w:tcBorders>
              <w:top w:val="nil"/>
              <w:left w:val="nil"/>
              <w:bottom w:val="nil"/>
              <w:right w:val="nil"/>
            </w:tcBorders>
            <w:shd w:val="clear" w:color="auto" w:fill="auto"/>
            <w:noWrap/>
            <w:vAlign w:val="bottom"/>
            <w:hideMark/>
          </w:tcPr>
          <w:p w14:paraId="03396E42" w14:textId="77777777" w:rsidR="00B57282" w:rsidRPr="00B57282" w:rsidRDefault="00B57282" w:rsidP="00B57282">
            <w:pPr>
              <w:spacing w:after="0" w:line="240" w:lineRule="auto"/>
              <w:rPr>
                <w:rFonts w:ascii="Calibri" w:eastAsia="Times New Roman" w:hAnsi="Calibri" w:cs="Calibri"/>
                <w:color w:val="000000"/>
                <w:lang w:eastAsia="nb-NO"/>
              </w:rPr>
            </w:pPr>
            <w:r w:rsidRPr="00B57282">
              <w:rPr>
                <w:rFonts w:ascii="Calibri" w:eastAsia="Times New Roman" w:hAnsi="Calibri" w:cs="Calibri"/>
                <w:color w:val="000000"/>
                <w:lang w:eastAsia="nb-NO"/>
              </w:rPr>
              <w:t xml:space="preserve">Secukinumab (Cosentyx®) </w:t>
            </w:r>
          </w:p>
        </w:tc>
      </w:tr>
      <w:tr w:rsidR="00B57282" w:rsidRPr="00B57282" w14:paraId="36144563" w14:textId="77777777" w:rsidTr="00B57282">
        <w:trPr>
          <w:trHeight w:val="300"/>
        </w:trPr>
        <w:tc>
          <w:tcPr>
            <w:tcW w:w="7180" w:type="dxa"/>
            <w:tcBorders>
              <w:top w:val="nil"/>
              <w:left w:val="nil"/>
              <w:bottom w:val="nil"/>
              <w:right w:val="nil"/>
            </w:tcBorders>
            <w:shd w:val="clear" w:color="auto" w:fill="auto"/>
            <w:noWrap/>
            <w:vAlign w:val="bottom"/>
            <w:hideMark/>
          </w:tcPr>
          <w:p w14:paraId="74AC0B1E" w14:textId="77777777" w:rsidR="00B57282" w:rsidRDefault="00B57282" w:rsidP="00B57282">
            <w:pPr>
              <w:spacing w:after="0" w:line="240" w:lineRule="auto"/>
              <w:rPr>
                <w:rFonts w:ascii="Calibri" w:eastAsia="Times New Roman" w:hAnsi="Calibri" w:cs="Calibri"/>
                <w:color w:val="000000"/>
                <w:lang w:eastAsia="nb-NO"/>
              </w:rPr>
            </w:pPr>
            <w:r w:rsidRPr="00B57282">
              <w:rPr>
                <w:rFonts w:ascii="Calibri" w:eastAsia="Times New Roman" w:hAnsi="Calibri" w:cs="Calibri"/>
                <w:color w:val="000000"/>
                <w:lang w:eastAsia="nb-NO"/>
              </w:rPr>
              <w:t>Sulfasalazin (Salazopyrin®)</w:t>
            </w:r>
          </w:p>
          <w:p w14:paraId="4AD7062A" w14:textId="0767F686" w:rsidR="00E04F4D" w:rsidRPr="00B57282" w:rsidRDefault="00E04F4D" w:rsidP="00B57282">
            <w:pPr>
              <w:spacing w:after="0" w:line="240" w:lineRule="auto"/>
              <w:rPr>
                <w:rFonts w:ascii="Calibri" w:eastAsia="Times New Roman" w:hAnsi="Calibri" w:cs="Calibri"/>
                <w:color w:val="000000"/>
                <w:lang w:eastAsia="nb-NO"/>
              </w:rPr>
            </w:pPr>
            <w:r>
              <w:rPr>
                <w:rFonts w:ascii="Calibri" w:eastAsia="Times New Roman" w:hAnsi="Calibri" w:cs="Calibri"/>
                <w:color w:val="000000"/>
                <w:lang w:eastAsia="nb-NO"/>
              </w:rPr>
              <w:t>Takrolimus (</w:t>
            </w:r>
            <w:r w:rsidR="002132AC">
              <w:rPr>
                <w:rFonts w:ascii="Calibri" w:eastAsia="Times New Roman" w:hAnsi="Calibri" w:cs="Calibri"/>
                <w:color w:val="000000"/>
                <w:lang w:eastAsia="nb-NO"/>
              </w:rPr>
              <w:t>Prograf</w:t>
            </w:r>
            <w:r w:rsidR="002132AC" w:rsidRPr="002132AC">
              <w:rPr>
                <w:rFonts w:ascii="Calibri" w:eastAsia="Times New Roman" w:hAnsi="Calibri" w:cs="Calibri"/>
                <w:color w:val="000000"/>
                <w:lang w:eastAsia="nb-NO"/>
              </w:rPr>
              <w:t>®</w:t>
            </w:r>
            <w:r w:rsidR="002132AC">
              <w:rPr>
                <w:rFonts w:ascii="Calibri" w:eastAsia="Times New Roman" w:hAnsi="Calibri" w:cs="Calibri"/>
                <w:color w:val="000000"/>
                <w:lang w:eastAsia="nb-NO"/>
              </w:rPr>
              <w:t>)</w:t>
            </w:r>
          </w:p>
        </w:tc>
      </w:tr>
      <w:tr w:rsidR="00B57282" w:rsidRPr="00B57282" w14:paraId="75748E82" w14:textId="77777777" w:rsidTr="00B57282">
        <w:trPr>
          <w:trHeight w:val="300"/>
        </w:trPr>
        <w:tc>
          <w:tcPr>
            <w:tcW w:w="7180" w:type="dxa"/>
            <w:tcBorders>
              <w:top w:val="nil"/>
              <w:left w:val="nil"/>
              <w:bottom w:val="nil"/>
              <w:right w:val="nil"/>
            </w:tcBorders>
            <w:shd w:val="clear" w:color="auto" w:fill="auto"/>
            <w:noWrap/>
            <w:vAlign w:val="bottom"/>
            <w:hideMark/>
          </w:tcPr>
          <w:p w14:paraId="42B6AF6C" w14:textId="77777777" w:rsidR="00B57282" w:rsidRPr="00B57282" w:rsidRDefault="00B57282" w:rsidP="00B57282">
            <w:pPr>
              <w:spacing w:after="0" w:line="240" w:lineRule="auto"/>
              <w:rPr>
                <w:rFonts w:ascii="Calibri" w:eastAsia="Times New Roman" w:hAnsi="Calibri" w:cs="Calibri"/>
                <w:color w:val="000000"/>
                <w:lang w:eastAsia="nb-NO"/>
              </w:rPr>
            </w:pPr>
            <w:r w:rsidRPr="00B57282">
              <w:rPr>
                <w:rFonts w:ascii="Calibri" w:eastAsia="Times New Roman" w:hAnsi="Calibri" w:cs="Calibri"/>
                <w:color w:val="000000"/>
                <w:lang w:eastAsia="nb-NO"/>
              </w:rPr>
              <w:t>Tocilizumab (RoActemra®)</w:t>
            </w:r>
          </w:p>
        </w:tc>
      </w:tr>
      <w:tr w:rsidR="00B57282" w:rsidRPr="00B57282" w14:paraId="7F0140A7" w14:textId="77777777" w:rsidTr="00B57282">
        <w:trPr>
          <w:trHeight w:val="300"/>
        </w:trPr>
        <w:tc>
          <w:tcPr>
            <w:tcW w:w="7180" w:type="dxa"/>
            <w:tcBorders>
              <w:top w:val="nil"/>
              <w:left w:val="nil"/>
              <w:bottom w:val="nil"/>
              <w:right w:val="nil"/>
            </w:tcBorders>
            <w:shd w:val="clear" w:color="auto" w:fill="auto"/>
            <w:noWrap/>
            <w:vAlign w:val="bottom"/>
            <w:hideMark/>
          </w:tcPr>
          <w:p w14:paraId="138C0DFC" w14:textId="77777777" w:rsidR="00B57282" w:rsidRPr="00B57282" w:rsidRDefault="00B57282" w:rsidP="00B57282">
            <w:pPr>
              <w:spacing w:after="0" w:line="240" w:lineRule="auto"/>
              <w:rPr>
                <w:rFonts w:ascii="Calibri" w:eastAsia="Times New Roman" w:hAnsi="Calibri" w:cs="Calibri"/>
                <w:color w:val="000000"/>
                <w:lang w:eastAsia="nb-NO"/>
              </w:rPr>
            </w:pPr>
            <w:r w:rsidRPr="00B57282">
              <w:rPr>
                <w:rFonts w:ascii="Calibri" w:eastAsia="Times New Roman" w:hAnsi="Calibri" w:cs="Calibri"/>
                <w:color w:val="000000"/>
                <w:lang w:eastAsia="nb-NO"/>
              </w:rPr>
              <w:t>Tofacitinib (Xeljanz®)</w:t>
            </w:r>
          </w:p>
        </w:tc>
      </w:tr>
      <w:tr w:rsidR="00B57282" w:rsidRPr="00B57282" w14:paraId="01C18351" w14:textId="77777777" w:rsidTr="00B57282">
        <w:trPr>
          <w:trHeight w:val="300"/>
        </w:trPr>
        <w:tc>
          <w:tcPr>
            <w:tcW w:w="7180" w:type="dxa"/>
            <w:tcBorders>
              <w:top w:val="nil"/>
              <w:left w:val="nil"/>
              <w:bottom w:val="nil"/>
              <w:right w:val="nil"/>
            </w:tcBorders>
            <w:shd w:val="clear" w:color="auto" w:fill="auto"/>
            <w:noWrap/>
            <w:vAlign w:val="bottom"/>
            <w:hideMark/>
          </w:tcPr>
          <w:p w14:paraId="6E1A4B24" w14:textId="77777777" w:rsidR="00B57282" w:rsidRPr="00B57282" w:rsidRDefault="00B57282" w:rsidP="00B57282">
            <w:pPr>
              <w:spacing w:after="0" w:line="240" w:lineRule="auto"/>
              <w:rPr>
                <w:rFonts w:ascii="Calibri" w:eastAsia="Times New Roman" w:hAnsi="Calibri" w:cs="Calibri"/>
                <w:color w:val="000000"/>
                <w:lang w:eastAsia="nb-NO"/>
              </w:rPr>
            </w:pPr>
            <w:r w:rsidRPr="00B57282">
              <w:rPr>
                <w:rFonts w:ascii="Calibri" w:eastAsia="Times New Roman" w:hAnsi="Calibri" w:cs="Calibri"/>
                <w:color w:val="000000"/>
                <w:lang w:eastAsia="nb-NO"/>
              </w:rPr>
              <w:t>Upadacitinib (Rinvoq®)</w:t>
            </w:r>
          </w:p>
        </w:tc>
      </w:tr>
      <w:tr w:rsidR="00B57282" w:rsidRPr="00B57282" w14:paraId="1DDC9164" w14:textId="77777777" w:rsidTr="00B57282">
        <w:trPr>
          <w:trHeight w:val="300"/>
        </w:trPr>
        <w:tc>
          <w:tcPr>
            <w:tcW w:w="7180" w:type="dxa"/>
            <w:tcBorders>
              <w:top w:val="nil"/>
              <w:left w:val="nil"/>
              <w:bottom w:val="nil"/>
              <w:right w:val="nil"/>
            </w:tcBorders>
            <w:shd w:val="clear" w:color="auto" w:fill="auto"/>
            <w:noWrap/>
            <w:vAlign w:val="bottom"/>
            <w:hideMark/>
          </w:tcPr>
          <w:p w14:paraId="77D768CE" w14:textId="77777777" w:rsidR="00B57282" w:rsidRPr="00B57282" w:rsidRDefault="00B57282" w:rsidP="00B57282">
            <w:pPr>
              <w:spacing w:after="0" w:line="240" w:lineRule="auto"/>
              <w:rPr>
                <w:rFonts w:ascii="Calibri" w:eastAsia="Times New Roman" w:hAnsi="Calibri" w:cs="Calibri"/>
                <w:color w:val="000000"/>
                <w:lang w:eastAsia="nb-NO"/>
              </w:rPr>
            </w:pPr>
            <w:r w:rsidRPr="00B57282">
              <w:rPr>
                <w:rFonts w:ascii="Calibri" w:eastAsia="Times New Roman" w:hAnsi="Calibri" w:cs="Calibri"/>
                <w:color w:val="000000"/>
                <w:lang w:eastAsia="nb-NO"/>
              </w:rPr>
              <w:t>Ustekinumab (Stelara®)</w:t>
            </w:r>
          </w:p>
        </w:tc>
      </w:tr>
      <w:tr w:rsidR="00B57282" w:rsidRPr="00B57282" w14:paraId="07D3E37F" w14:textId="77777777" w:rsidTr="00B57282">
        <w:trPr>
          <w:trHeight w:val="300"/>
        </w:trPr>
        <w:tc>
          <w:tcPr>
            <w:tcW w:w="7180" w:type="dxa"/>
            <w:tcBorders>
              <w:top w:val="nil"/>
              <w:left w:val="nil"/>
              <w:bottom w:val="nil"/>
              <w:right w:val="nil"/>
            </w:tcBorders>
            <w:shd w:val="clear" w:color="auto" w:fill="auto"/>
            <w:noWrap/>
            <w:vAlign w:val="bottom"/>
            <w:hideMark/>
          </w:tcPr>
          <w:p w14:paraId="31C258C2" w14:textId="77777777" w:rsidR="00B57282" w:rsidRPr="00B57282" w:rsidRDefault="00B57282" w:rsidP="00B57282">
            <w:pPr>
              <w:spacing w:after="0" w:line="240" w:lineRule="auto"/>
              <w:rPr>
                <w:rFonts w:ascii="Calibri" w:eastAsia="Times New Roman" w:hAnsi="Calibri" w:cs="Calibri"/>
                <w:color w:val="000000"/>
                <w:lang w:eastAsia="nb-NO"/>
              </w:rPr>
            </w:pPr>
            <w:r w:rsidRPr="00B57282">
              <w:rPr>
                <w:rFonts w:ascii="Calibri" w:eastAsia="Times New Roman" w:hAnsi="Calibri" w:cs="Calibri"/>
                <w:color w:val="000000"/>
                <w:lang w:eastAsia="nb-NO"/>
              </w:rPr>
              <w:t>Vedolizumab (Entyvio®)</w:t>
            </w:r>
          </w:p>
        </w:tc>
      </w:tr>
    </w:tbl>
    <w:p w14:paraId="26138D15" w14:textId="77777777" w:rsidR="00B57282" w:rsidRDefault="00B57282" w:rsidP="005C36F0">
      <w:pPr>
        <w:spacing w:after="0"/>
        <w:ind w:left="360"/>
      </w:pPr>
    </w:p>
    <w:p w14:paraId="166E6E04" w14:textId="6D2DCB7E" w:rsidR="00FF6753" w:rsidRDefault="00525C03">
      <w:r w:rsidRPr="00525C03">
        <w:t xml:space="preserve"> </w:t>
      </w:r>
    </w:p>
    <w:p w14:paraId="3376D1AB" w14:textId="13A657F7" w:rsidR="00FF6753" w:rsidRDefault="00FF6753">
      <w:pPr>
        <w:rPr>
          <w:vertAlign w:val="superscript"/>
        </w:rPr>
      </w:pPr>
      <w:r w:rsidRPr="00A12008">
        <w:rPr>
          <w:vertAlign w:val="superscript"/>
        </w:rPr>
        <w:t>1</w:t>
      </w:r>
      <w:r w:rsidRPr="00525C03">
        <w:t>Tredje dose vaksine anbefales</w:t>
      </w:r>
      <w:r>
        <w:t xml:space="preserve"> til</w:t>
      </w:r>
      <w:r w:rsidRPr="00525C03">
        <w:t xml:space="preserve"> de som har brukt d</w:t>
      </w:r>
      <w:r>
        <w:t>ette</w:t>
      </w:r>
      <w:r w:rsidRPr="00525C03">
        <w:t xml:space="preserve"> medikamente</w:t>
      </w:r>
      <w:r>
        <w:t>t</w:t>
      </w:r>
      <w:r w:rsidRPr="00525C03">
        <w:t xml:space="preserve"> i løpet av de siste </w:t>
      </w:r>
      <w:r>
        <w:t>6 mnd</w:t>
      </w:r>
      <w:r w:rsidRPr="00525C03">
        <w:t>.</w:t>
      </w:r>
    </w:p>
    <w:p w14:paraId="31EF8A29" w14:textId="5681250A" w:rsidR="00525C03" w:rsidRPr="00A12008" w:rsidRDefault="00FF6753">
      <w:pPr>
        <w:rPr>
          <w:vertAlign w:val="superscript"/>
        </w:rPr>
      </w:pPr>
      <w:r w:rsidRPr="00A12008">
        <w:rPr>
          <w:vertAlign w:val="superscript"/>
        </w:rPr>
        <w:lastRenderedPageBreak/>
        <w:t>2</w:t>
      </w:r>
      <w:r w:rsidR="00525C03">
        <w:t xml:space="preserve">Pasientene bør ikke vaksineres samme dag som de får infusjon med rituksimab, infliksimab eller okrelizumab, et intervall på </w:t>
      </w:r>
      <w:r w:rsidR="00525C03" w:rsidRPr="00B83959">
        <w:rPr>
          <w:u w:val="single"/>
        </w:rPr>
        <w:t>+</w:t>
      </w:r>
      <w:r w:rsidR="00525C03">
        <w:t xml:space="preserve"> 2 uker vil være å foretrekke, men bør ikke forsinke vaksinering.</w:t>
      </w:r>
    </w:p>
    <w:p w14:paraId="549AFA57" w14:textId="10E4943E" w:rsidR="002A6E12" w:rsidRDefault="00FF6753" w:rsidP="002A6E12">
      <w:pPr>
        <w:rPr>
          <w:rFonts w:eastAsiaTheme="minorEastAsia"/>
          <w:noProof/>
          <w:lang w:eastAsia="nb-NO"/>
        </w:rPr>
      </w:pPr>
      <w:r>
        <w:rPr>
          <w:vertAlign w:val="superscript"/>
        </w:rPr>
        <w:t xml:space="preserve">3 </w:t>
      </w:r>
      <w:r w:rsidR="00525C03" w:rsidRPr="00525C03">
        <w:t xml:space="preserve">Tredje dose vaksine anbefales de som har brukt disse medikamentene i løpet av de siste to årene. </w:t>
      </w:r>
    </w:p>
    <w:p w14:paraId="331B049E" w14:textId="77777777" w:rsidR="00FF6753" w:rsidRDefault="00FF6753" w:rsidP="002A6E12">
      <w:pPr>
        <w:rPr>
          <w:rFonts w:eastAsiaTheme="minorEastAsia"/>
          <w:noProof/>
          <w:lang w:eastAsia="nb-NO"/>
        </w:rPr>
      </w:pPr>
    </w:p>
    <w:p w14:paraId="70D05B0C" w14:textId="347C4083" w:rsidR="002A6E12" w:rsidRDefault="002A6E12" w:rsidP="002A6E12">
      <w:r>
        <w:rPr>
          <w:rFonts w:eastAsiaTheme="minorEastAsia"/>
          <w:noProof/>
          <w:lang w:eastAsia="nb-NO"/>
        </w:rPr>
        <w:t xml:space="preserve">Denne listen er laget på bakgrunn av diskusjon i </w:t>
      </w:r>
      <w:r w:rsidR="00525C03">
        <w:rPr>
          <w:rFonts w:eastAsiaTheme="minorEastAsia"/>
          <w:noProof/>
          <w:lang w:eastAsia="nb-NO"/>
        </w:rPr>
        <w:t xml:space="preserve">de kliniske forskningsmiljøene </w:t>
      </w:r>
      <w:r w:rsidR="00983DDE">
        <w:rPr>
          <w:rFonts w:eastAsiaTheme="minorEastAsia"/>
          <w:noProof/>
          <w:lang w:eastAsia="nb-NO"/>
        </w:rPr>
        <w:t xml:space="preserve">innen covid-19-vaksineforskning </w:t>
      </w:r>
      <w:r w:rsidR="00F84EF5">
        <w:rPr>
          <w:rFonts w:eastAsiaTheme="minorEastAsia"/>
          <w:noProof/>
          <w:lang w:eastAsia="nb-NO"/>
        </w:rPr>
        <w:t xml:space="preserve">på personer med immundempende behandling </w:t>
      </w:r>
      <w:r w:rsidR="00983DDE">
        <w:rPr>
          <w:rFonts w:eastAsiaTheme="minorEastAsia"/>
          <w:noProof/>
          <w:lang w:eastAsia="nb-NO"/>
        </w:rPr>
        <w:t xml:space="preserve">og med representanter fra </w:t>
      </w:r>
      <w:r w:rsidR="00FF6753">
        <w:t xml:space="preserve">Norsk Revmatologisk Forening, </w:t>
      </w:r>
      <w:r>
        <w:t xml:space="preserve">Norsk </w:t>
      </w:r>
      <w:r w:rsidR="00983DDE">
        <w:t>G</w:t>
      </w:r>
      <w:r>
        <w:t>astro</w:t>
      </w:r>
      <w:r w:rsidR="00983DDE">
        <w:t>enterologisk</w:t>
      </w:r>
      <w:r>
        <w:t xml:space="preserve"> </w:t>
      </w:r>
      <w:r w:rsidR="00983DDE">
        <w:t>F</w:t>
      </w:r>
      <w:r>
        <w:t xml:space="preserve">orening, Norsk </w:t>
      </w:r>
      <w:r w:rsidR="00525C03">
        <w:t>Nevrologisk Forening</w:t>
      </w:r>
      <w:r w:rsidR="00983DDE">
        <w:t>,</w:t>
      </w:r>
      <w:r>
        <w:t xml:space="preserve"> Norsk </w:t>
      </w:r>
      <w:r w:rsidR="00F84EF5">
        <w:t>Forening for D</w:t>
      </w:r>
      <w:r w:rsidR="00983DDE">
        <w:t>ermatologi</w:t>
      </w:r>
      <w:r w:rsidR="00F84EF5">
        <w:t xml:space="preserve"> og Venerologi</w:t>
      </w:r>
      <w:r w:rsidR="00983DDE">
        <w:t xml:space="preserve"> </w:t>
      </w:r>
      <w:r>
        <w:t xml:space="preserve">og </w:t>
      </w:r>
      <w:r w:rsidR="00983DDE">
        <w:t xml:space="preserve">Norsk Infeksjonsmedisinsk Forening. Listen er </w:t>
      </w:r>
      <w:r>
        <w:t xml:space="preserve">sammenfattet av Guro </w:t>
      </w:r>
      <w:r w:rsidR="00932A81">
        <w:t xml:space="preserve">Løvik </w:t>
      </w:r>
      <w:r>
        <w:t>Goll</w:t>
      </w:r>
      <w:r w:rsidR="00983DDE">
        <w:t xml:space="preserve"> (overlege, PhD, revmatologisk avdeling, Diakonhjemmet sykehus)</w:t>
      </w:r>
      <w:r w:rsidR="00893C6A">
        <w:t>,</w:t>
      </w:r>
      <w:r>
        <w:t xml:space="preserve"> Marte Lie Høivik</w:t>
      </w:r>
      <w:r w:rsidR="00983DDE">
        <w:t xml:space="preserve"> (overlege, PhD, gastromedisinsk avdeling, Oslo Universitetssykehus)</w:t>
      </w:r>
      <w:r w:rsidR="00893C6A">
        <w:t xml:space="preserve"> og Gro Owren Nygaard (overlege, PhD nevrologisk avdeling, Oslo Universitetssykehus)</w:t>
      </w:r>
      <w:r w:rsidR="00932A81">
        <w:t>. Forfatterne understreker at listen kan endre seg med endret kunnskapsgrunnlag.</w:t>
      </w:r>
    </w:p>
    <w:p w14:paraId="68E10697" w14:textId="5325E990" w:rsidR="00B87030" w:rsidRPr="006C6C71" w:rsidRDefault="00B87030" w:rsidP="006C6C71">
      <w:pPr>
        <w:rPr>
          <w:rFonts w:eastAsiaTheme="minorEastAsia"/>
          <w:noProof/>
          <w:lang w:eastAsia="nb-NO"/>
        </w:rPr>
      </w:pPr>
    </w:p>
    <w:sectPr w:rsidR="00B87030" w:rsidRPr="006C6C7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3B2AD" w14:textId="77777777" w:rsidR="00A65359" w:rsidRDefault="00A65359" w:rsidP="006C6C71">
      <w:pPr>
        <w:spacing w:after="0" w:line="240" w:lineRule="auto"/>
      </w:pPr>
      <w:r>
        <w:separator/>
      </w:r>
    </w:p>
  </w:endnote>
  <w:endnote w:type="continuationSeparator" w:id="0">
    <w:p w14:paraId="62D5D0F1" w14:textId="77777777" w:rsidR="00A65359" w:rsidRDefault="00A65359" w:rsidP="006C6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0966564"/>
      <w:docPartObj>
        <w:docPartGallery w:val="Page Numbers (Bottom of Page)"/>
        <w:docPartUnique/>
      </w:docPartObj>
    </w:sdtPr>
    <w:sdtEndPr/>
    <w:sdtContent>
      <w:p w14:paraId="3490EC0B" w14:textId="5574334B" w:rsidR="006C6C71" w:rsidRDefault="006C6C71">
        <w:pPr>
          <w:pStyle w:val="Bunntekst"/>
          <w:jc w:val="center"/>
        </w:pPr>
        <w:r>
          <w:fldChar w:fldCharType="begin"/>
        </w:r>
        <w:r>
          <w:instrText>PAGE   \* MERGEFORMAT</w:instrText>
        </w:r>
        <w:r>
          <w:fldChar w:fldCharType="separate"/>
        </w:r>
        <w:r w:rsidR="001360C8">
          <w:rPr>
            <w:noProof/>
          </w:rPr>
          <w:t>1</w:t>
        </w:r>
        <w:r>
          <w:fldChar w:fldCharType="end"/>
        </w:r>
      </w:p>
    </w:sdtContent>
  </w:sdt>
  <w:p w14:paraId="4C264EDD" w14:textId="77777777" w:rsidR="006C6C71" w:rsidRDefault="006C6C71">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60EFD" w14:textId="77777777" w:rsidR="00A65359" w:rsidRDefault="00A65359" w:rsidP="006C6C71">
      <w:pPr>
        <w:spacing w:after="0" w:line="240" w:lineRule="auto"/>
      </w:pPr>
      <w:r>
        <w:separator/>
      </w:r>
    </w:p>
  </w:footnote>
  <w:footnote w:type="continuationSeparator" w:id="0">
    <w:p w14:paraId="6882B3FA" w14:textId="77777777" w:rsidR="00A65359" w:rsidRDefault="00A65359" w:rsidP="006C6C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3160D"/>
    <w:multiLevelType w:val="hybridMultilevel"/>
    <w:tmpl w:val="1F5C8264"/>
    <w:lvl w:ilvl="0" w:tplc="3CCA653C">
      <w:start w:val="1"/>
      <w:numFmt w:val="decimal"/>
      <w:lvlText w:val="%1)"/>
      <w:lvlJc w:val="left"/>
      <w:pPr>
        <w:ind w:left="720" w:hanging="360"/>
      </w:pPr>
      <w:rPr>
        <w:rFonts w:hint="default"/>
        <w:b/>
        <w:u w:val="single"/>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2A1232DB"/>
    <w:multiLevelType w:val="hybridMultilevel"/>
    <w:tmpl w:val="7EDC366C"/>
    <w:lvl w:ilvl="0" w:tplc="4D9A82F2">
      <w:start w:val="1"/>
      <w:numFmt w:val="bullet"/>
      <w:lvlText w:val="•"/>
      <w:lvlJc w:val="left"/>
      <w:pPr>
        <w:tabs>
          <w:tab w:val="num" w:pos="720"/>
        </w:tabs>
        <w:ind w:left="720" w:hanging="360"/>
      </w:pPr>
      <w:rPr>
        <w:rFonts w:ascii="Arial" w:hAnsi="Arial" w:hint="default"/>
      </w:rPr>
    </w:lvl>
    <w:lvl w:ilvl="1" w:tplc="0978A88A" w:tentative="1">
      <w:start w:val="1"/>
      <w:numFmt w:val="bullet"/>
      <w:lvlText w:val="•"/>
      <w:lvlJc w:val="left"/>
      <w:pPr>
        <w:tabs>
          <w:tab w:val="num" w:pos="1440"/>
        </w:tabs>
        <w:ind w:left="1440" w:hanging="360"/>
      </w:pPr>
      <w:rPr>
        <w:rFonts w:ascii="Arial" w:hAnsi="Arial" w:hint="default"/>
      </w:rPr>
    </w:lvl>
    <w:lvl w:ilvl="2" w:tplc="6382DE60" w:tentative="1">
      <w:start w:val="1"/>
      <w:numFmt w:val="bullet"/>
      <w:lvlText w:val="•"/>
      <w:lvlJc w:val="left"/>
      <w:pPr>
        <w:tabs>
          <w:tab w:val="num" w:pos="2160"/>
        </w:tabs>
        <w:ind w:left="2160" w:hanging="360"/>
      </w:pPr>
      <w:rPr>
        <w:rFonts w:ascii="Arial" w:hAnsi="Arial" w:hint="default"/>
      </w:rPr>
    </w:lvl>
    <w:lvl w:ilvl="3" w:tplc="A892796C" w:tentative="1">
      <w:start w:val="1"/>
      <w:numFmt w:val="bullet"/>
      <w:lvlText w:val="•"/>
      <w:lvlJc w:val="left"/>
      <w:pPr>
        <w:tabs>
          <w:tab w:val="num" w:pos="2880"/>
        </w:tabs>
        <w:ind w:left="2880" w:hanging="360"/>
      </w:pPr>
      <w:rPr>
        <w:rFonts w:ascii="Arial" w:hAnsi="Arial" w:hint="default"/>
      </w:rPr>
    </w:lvl>
    <w:lvl w:ilvl="4" w:tplc="82F454EA" w:tentative="1">
      <w:start w:val="1"/>
      <w:numFmt w:val="bullet"/>
      <w:lvlText w:val="•"/>
      <w:lvlJc w:val="left"/>
      <w:pPr>
        <w:tabs>
          <w:tab w:val="num" w:pos="3600"/>
        </w:tabs>
        <w:ind w:left="3600" w:hanging="360"/>
      </w:pPr>
      <w:rPr>
        <w:rFonts w:ascii="Arial" w:hAnsi="Arial" w:hint="default"/>
      </w:rPr>
    </w:lvl>
    <w:lvl w:ilvl="5" w:tplc="0FBE6AA6" w:tentative="1">
      <w:start w:val="1"/>
      <w:numFmt w:val="bullet"/>
      <w:lvlText w:val="•"/>
      <w:lvlJc w:val="left"/>
      <w:pPr>
        <w:tabs>
          <w:tab w:val="num" w:pos="4320"/>
        </w:tabs>
        <w:ind w:left="4320" w:hanging="360"/>
      </w:pPr>
      <w:rPr>
        <w:rFonts w:ascii="Arial" w:hAnsi="Arial" w:hint="default"/>
      </w:rPr>
    </w:lvl>
    <w:lvl w:ilvl="6" w:tplc="BDCEFFAC" w:tentative="1">
      <w:start w:val="1"/>
      <w:numFmt w:val="bullet"/>
      <w:lvlText w:val="•"/>
      <w:lvlJc w:val="left"/>
      <w:pPr>
        <w:tabs>
          <w:tab w:val="num" w:pos="5040"/>
        </w:tabs>
        <w:ind w:left="5040" w:hanging="360"/>
      </w:pPr>
      <w:rPr>
        <w:rFonts w:ascii="Arial" w:hAnsi="Arial" w:hint="default"/>
      </w:rPr>
    </w:lvl>
    <w:lvl w:ilvl="7" w:tplc="32D6C088" w:tentative="1">
      <w:start w:val="1"/>
      <w:numFmt w:val="bullet"/>
      <w:lvlText w:val="•"/>
      <w:lvlJc w:val="left"/>
      <w:pPr>
        <w:tabs>
          <w:tab w:val="num" w:pos="5760"/>
        </w:tabs>
        <w:ind w:left="5760" w:hanging="360"/>
      </w:pPr>
      <w:rPr>
        <w:rFonts w:ascii="Arial" w:hAnsi="Arial" w:hint="default"/>
      </w:rPr>
    </w:lvl>
    <w:lvl w:ilvl="8" w:tplc="B05673F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A15259D"/>
    <w:multiLevelType w:val="hybridMultilevel"/>
    <w:tmpl w:val="DC4E5FC0"/>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441B7577"/>
    <w:multiLevelType w:val="hybridMultilevel"/>
    <w:tmpl w:val="499A287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57CD21DC"/>
    <w:multiLevelType w:val="hybridMultilevel"/>
    <w:tmpl w:val="7D7EC24E"/>
    <w:lvl w:ilvl="0" w:tplc="D91A7B9A">
      <w:start w:val="1"/>
      <w:numFmt w:val="bullet"/>
      <w:lvlText w:val="•"/>
      <w:lvlJc w:val="left"/>
      <w:pPr>
        <w:tabs>
          <w:tab w:val="num" w:pos="720"/>
        </w:tabs>
        <w:ind w:left="720" w:hanging="360"/>
      </w:pPr>
      <w:rPr>
        <w:rFonts w:ascii="Arial" w:hAnsi="Arial" w:hint="default"/>
      </w:rPr>
    </w:lvl>
    <w:lvl w:ilvl="1" w:tplc="3198DB96" w:tentative="1">
      <w:start w:val="1"/>
      <w:numFmt w:val="bullet"/>
      <w:lvlText w:val="•"/>
      <w:lvlJc w:val="left"/>
      <w:pPr>
        <w:tabs>
          <w:tab w:val="num" w:pos="1440"/>
        </w:tabs>
        <w:ind w:left="1440" w:hanging="360"/>
      </w:pPr>
      <w:rPr>
        <w:rFonts w:ascii="Arial" w:hAnsi="Arial" w:hint="default"/>
      </w:rPr>
    </w:lvl>
    <w:lvl w:ilvl="2" w:tplc="B06235AA" w:tentative="1">
      <w:start w:val="1"/>
      <w:numFmt w:val="bullet"/>
      <w:lvlText w:val="•"/>
      <w:lvlJc w:val="left"/>
      <w:pPr>
        <w:tabs>
          <w:tab w:val="num" w:pos="2160"/>
        </w:tabs>
        <w:ind w:left="2160" w:hanging="360"/>
      </w:pPr>
      <w:rPr>
        <w:rFonts w:ascii="Arial" w:hAnsi="Arial" w:hint="default"/>
      </w:rPr>
    </w:lvl>
    <w:lvl w:ilvl="3" w:tplc="3E582340" w:tentative="1">
      <w:start w:val="1"/>
      <w:numFmt w:val="bullet"/>
      <w:lvlText w:val="•"/>
      <w:lvlJc w:val="left"/>
      <w:pPr>
        <w:tabs>
          <w:tab w:val="num" w:pos="2880"/>
        </w:tabs>
        <w:ind w:left="2880" w:hanging="360"/>
      </w:pPr>
      <w:rPr>
        <w:rFonts w:ascii="Arial" w:hAnsi="Arial" w:hint="default"/>
      </w:rPr>
    </w:lvl>
    <w:lvl w:ilvl="4" w:tplc="C3A2C5D2" w:tentative="1">
      <w:start w:val="1"/>
      <w:numFmt w:val="bullet"/>
      <w:lvlText w:val="•"/>
      <w:lvlJc w:val="left"/>
      <w:pPr>
        <w:tabs>
          <w:tab w:val="num" w:pos="3600"/>
        </w:tabs>
        <w:ind w:left="3600" w:hanging="360"/>
      </w:pPr>
      <w:rPr>
        <w:rFonts w:ascii="Arial" w:hAnsi="Arial" w:hint="default"/>
      </w:rPr>
    </w:lvl>
    <w:lvl w:ilvl="5" w:tplc="94DE8FEE" w:tentative="1">
      <w:start w:val="1"/>
      <w:numFmt w:val="bullet"/>
      <w:lvlText w:val="•"/>
      <w:lvlJc w:val="left"/>
      <w:pPr>
        <w:tabs>
          <w:tab w:val="num" w:pos="4320"/>
        </w:tabs>
        <w:ind w:left="4320" w:hanging="360"/>
      </w:pPr>
      <w:rPr>
        <w:rFonts w:ascii="Arial" w:hAnsi="Arial" w:hint="default"/>
      </w:rPr>
    </w:lvl>
    <w:lvl w:ilvl="6" w:tplc="23E0A3FA" w:tentative="1">
      <w:start w:val="1"/>
      <w:numFmt w:val="bullet"/>
      <w:lvlText w:val="•"/>
      <w:lvlJc w:val="left"/>
      <w:pPr>
        <w:tabs>
          <w:tab w:val="num" w:pos="5040"/>
        </w:tabs>
        <w:ind w:left="5040" w:hanging="360"/>
      </w:pPr>
      <w:rPr>
        <w:rFonts w:ascii="Arial" w:hAnsi="Arial" w:hint="default"/>
      </w:rPr>
    </w:lvl>
    <w:lvl w:ilvl="7" w:tplc="16BCA8AE" w:tentative="1">
      <w:start w:val="1"/>
      <w:numFmt w:val="bullet"/>
      <w:lvlText w:val="•"/>
      <w:lvlJc w:val="left"/>
      <w:pPr>
        <w:tabs>
          <w:tab w:val="num" w:pos="5760"/>
        </w:tabs>
        <w:ind w:left="5760" w:hanging="360"/>
      </w:pPr>
      <w:rPr>
        <w:rFonts w:ascii="Arial" w:hAnsi="Arial" w:hint="default"/>
      </w:rPr>
    </w:lvl>
    <w:lvl w:ilvl="8" w:tplc="9D20575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D7C22FD"/>
    <w:multiLevelType w:val="hybridMultilevel"/>
    <w:tmpl w:val="1190038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6" w15:restartNumberingAfterBreak="0">
    <w:nsid w:val="69052E0D"/>
    <w:multiLevelType w:val="hybridMultilevel"/>
    <w:tmpl w:val="3790E84A"/>
    <w:lvl w:ilvl="0" w:tplc="F3A23C2E">
      <w:start w:val="1"/>
      <w:numFmt w:val="decimal"/>
      <w:lvlText w:val="%1)"/>
      <w:lvlJc w:val="left"/>
      <w:pPr>
        <w:ind w:left="720" w:hanging="360"/>
      </w:pPr>
      <w:rPr>
        <w:rFonts w:hint="default"/>
        <w:b/>
        <w:u w:val="single"/>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6"/>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030"/>
    <w:rsid w:val="000806D0"/>
    <w:rsid w:val="00086E71"/>
    <w:rsid w:val="00095B4D"/>
    <w:rsid w:val="000A4BC1"/>
    <w:rsid w:val="000E45C8"/>
    <w:rsid w:val="000F6510"/>
    <w:rsid w:val="001360C8"/>
    <w:rsid w:val="001F302A"/>
    <w:rsid w:val="00205DB9"/>
    <w:rsid w:val="002132AC"/>
    <w:rsid w:val="00261C03"/>
    <w:rsid w:val="00271C5B"/>
    <w:rsid w:val="0029661C"/>
    <w:rsid w:val="002A6E12"/>
    <w:rsid w:val="00350E84"/>
    <w:rsid w:val="003A533A"/>
    <w:rsid w:val="00433DCE"/>
    <w:rsid w:val="00490FE5"/>
    <w:rsid w:val="004C564E"/>
    <w:rsid w:val="00525C03"/>
    <w:rsid w:val="005659C1"/>
    <w:rsid w:val="005978DE"/>
    <w:rsid w:val="005B4844"/>
    <w:rsid w:val="005C36F0"/>
    <w:rsid w:val="005E4187"/>
    <w:rsid w:val="0060376D"/>
    <w:rsid w:val="006324DD"/>
    <w:rsid w:val="006402C2"/>
    <w:rsid w:val="006633F6"/>
    <w:rsid w:val="006C45B7"/>
    <w:rsid w:val="006C6C71"/>
    <w:rsid w:val="00770B74"/>
    <w:rsid w:val="00796B5A"/>
    <w:rsid w:val="007F33D5"/>
    <w:rsid w:val="00856EC3"/>
    <w:rsid w:val="00893C6A"/>
    <w:rsid w:val="0089604C"/>
    <w:rsid w:val="00905649"/>
    <w:rsid w:val="00923C97"/>
    <w:rsid w:val="00932A81"/>
    <w:rsid w:val="0093320D"/>
    <w:rsid w:val="00971330"/>
    <w:rsid w:val="00983DDE"/>
    <w:rsid w:val="009F03E7"/>
    <w:rsid w:val="00A12008"/>
    <w:rsid w:val="00A2032F"/>
    <w:rsid w:val="00A33A71"/>
    <w:rsid w:val="00A51CD7"/>
    <w:rsid w:val="00A618C1"/>
    <w:rsid w:val="00A65359"/>
    <w:rsid w:val="00AB21E7"/>
    <w:rsid w:val="00B57282"/>
    <w:rsid w:val="00B83959"/>
    <w:rsid w:val="00B83F9B"/>
    <w:rsid w:val="00B87030"/>
    <w:rsid w:val="00BE132D"/>
    <w:rsid w:val="00C85B02"/>
    <w:rsid w:val="00CA56EF"/>
    <w:rsid w:val="00CB731F"/>
    <w:rsid w:val="00CD4BD6"/>
    <w:rsid w:val="00D330AD"/>
    <w:rsid w:val="00D53DB0"/>
    <w:rsid w:val="00DC3909"/>
    <w:rsid w:val="00E04F4D"/>
    <w:rsid w:val="00E15D92"/>
    <w:rsid w:val="00E42FAA"/>
    <w:rsid w:val="00E67969"/>
    <w:rsid w:val="00E71C74"/>
    <w:rsid w:val="00E77F26"/>
    <w:rsid w:val="00EC79A3"/>
    <w:rsid w:val="00EF771F"/>
    <w:rsid w:val="00F2025A"/>
    <w:rsid w:val="00F25878"/>
    <w:rsid w:val="00F84EF5"/>
    <w:rsid w:val="00FD4FF3"/>
    <w:rsid w:val="00FF58E8"/>
    <w:rsid w:val="00FF675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C8332"/>
  <w15:docId w15:val="{D167E4FF-EA8F-491E-BA22-72C07EDC6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B87030"/>
    <w:pPr>
      <w:ind w:left="720"/>
      <w:contextualSpacing/>
    </w:pPr>
  </w:style>
  <w:style w:type="character" w:styleId="Merknadsreferanse">
    <w:name w:val="annotation reference"/>
    <w:basedOn w:val="Standardskriftforavsnitt"/>
    <w:uiPriority w:val="99"/>
    <w:semiHidden/>
    <w:unhideWhenUsed/>
    <w:rsid w:val="006633F6"/>
    <w:rPr>
      <w:sz w:val="16"/>
      <w:szCs w:val="16"/>
    </w:rPr>
  </w:style>
  <w:style w:type="paragraph" w:styleId="Merknadstekst">
    <w:name w:val="annotation text"/>
    <w:basedOn w:val="Normal"/>
    <w:link w:val="MerknadstekstTegn"/>
    <w:uiPriority w:val="99"/>
    <w:semiHidden/>
    <w:unhideWhenUsed/>
    <w:rsid w:val="006633F6"/>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6633F6"/>
    <w:rPr>
      <w:sz w:val="20"/>
      <w:szCs w:val="20"/>
    </w:rPr>
  </w:style>
  <w:style w:type="paragraph" w:styleId="Kommentaremne">
    <w:name w:val="annotation subject"/>
    <w:basedOn w:val="Merknadstekst"/>
    <w:next w:val="Merknadstekst"/>
    <w:link w:val="KommentaremneTegn"/>
    <w:uiPriority w:val="99"/>
    <w:semiHidden/>
    <w:unhideWhenUsed/>
    <w:rsid w:val="006633F6"/>
    <w:rPr>
      <w:b/>
      <w:bCs/>
    </w:rPr>
  </w:style>
  <w:style w:type="character" w:customStyle="1" w:styleId="KommentaremneTegn">
    <w:name w:val="Kommentaremne Tegn"/>
    <w:basedOn w:val="MerknadstekstTegn"/>
    <w:link w:val="Kommentaremne"/>
    <w:uiPriority w:val="99"/>
    <w:semiHidden/>
    <w:rsid w:val="006633F6"/>
    <w:rPr>
      <w:b/>
      <w:bCs/>
      <w:sz w:val="20"/>
      <w:szCs w:val="20"/>
    </w:rPr>
  </w:style>
  <w:style w:type="paragraph" w:styleId="Bobletekst">
    <w:name w:val="Balloon Text"/>
    <w:basedOn w:val="Normal"/>
    <w:link w:val="BobletekstTegn"/>
    <w:uiPriority w:val="99"/>
    <w:semiHidden/>
    <w:unhideWhenUsed/>
    <w:rsid w:val="006633F6"/>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6633F6"/>
    <w:rPr>
      <w:rFonts w:ascii="Segoe UI" w:hAnsi="Segoe UI" w:cs="Segoe UI"/>
      <w:sz w:val="18"/>
      <w:szCs w:val="18"/>
    </w:rPr>
  </w:style>
  <w:style w:type="paragraph" w:styleId="Topptekst">
    <w:name w:val="header"/>
    <w:basedOn w:val="Normal"/>
    <w:link w:val="TopptekstTegn"/>
    <w:uiPriority w:val="99"/>
    <w:unhideWhenUsed/>
    <w:rsid w:val="006C6C71"/>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6C6C71"/>
  </w:style>
  <w:style w:type="paragraph" w:styleId="Bunntekst">
    <w:name w:val="footer"/>
    <w:basedOn w:val="Normal"/>
    <w:link w:val="BunntekstTegn"/>
    <w:uiPriority w:val="99"/>
    <w:unhideWhenUsed/>
    <w:rsid w:val="006C6C71"/>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6C6C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95418">
      <w:bodyDiv w:val="1"/>
      <w:marLeft w:val="0"/>
      <w:marRight w:val="0"/>
      <w:marTop w:val="0"/>
      <w:marBottom w:val="0"/>
      <w:divBdr>
        <w:top w:val="none" w:sz="0" w:space="0" w:color="auto"/>
        <w:left w:val="none" w:sz="0" w:space="0" w:color="auto"/>
        <w:bottom w:val="none" w:sz="0" w:space="0" w:color="auto"/>
        <w:right w:val="none" w:sz="0" w:space="0" w:color="auto"/>
      </w:divBdr>
    </w:div>
    <w:div w:id="725645521">
      <w:bodyDiv w:val="1"/>
      <w:marLeft w:val="0"/>
      <w:marRight w:val="0"/>
      <w:marTop w:val="0"/>
      <w:marBottom w:val="0"/>
      <w:divBdr>
        <w:top w:val="none" w:sz="0" w:space="0" w:color="auto"/>
        <w:left w:val="none" w:sz="0" w:space="0" w:color="auto"/>
        <w:bottom w:val="none" w:sz="0" w:space="0" w:color="auto"/>
        <w:right w:val="none" w:sz="0" w:space="0" w:color="auto"/>
      </w:divBdr>
    </w:div>
    <w:div w:id="844631350">
      <w:bodyDiv w:val="1"/>
      <w:marLeft w:val="0"/>
      <w:marRight w:val="0"/>
      <w:marTop w:val="0"/>
      <w:marBottom w:val="0"/>
      <w:divBdr>
        <w:top w:val="none" w:sz="0" w:space="0" w:color="auto"/>
        <w:left w:val="none" w:sz="0" w:space="0" w:color="auto"/>
        <w:bottom w:val="none" w:sz="0" w:space="0" w:color="auto"/>
        <w:right w:val="none" w:sz="0" w:space="0" w:color="auto"/>
      </w:divBdr>
    </w:div>
    <w:div w:id="922106216">
      <w:bodyDiv w:val="1"/>
      <w:marLeft w:val="0"/>
      <w:marRight w:val="0"/>
      <w:marTop w:val="0"/>
      <w:marBottom w:val="0"/>
      <w:divBdr>
        <w:top w:val="none" w:sz="0" w:space="0" w:color="auto"/>
        <w:left w:val="none" w:sz="0" w:space="0" w:color="auto"/>
        <w:bottom w:val="none" w:sz="0" w:space="0" w:color="auto"/>
        <w:right w:val="none" w:sz="0" w:space="0" w:color="auto"/>
      </w:divBdr>
      <w:divsChild>
        <w:div w:id="254216734">
          <w:marLeft w:val="360"/>
          <w:marRight w:val="0"/>
          <w:marTop w:val="200"/>
          <w:marBottom w:val="0"/>
          <w:divBdr>
            <w:top w:val="none" w:sz="0" w:space="0" w:color="auto"/>
            <w:left w:val="none" w:sz="0" w:space="0" w:color="auto"/>
            <w:bottom w:val="none" w:sz="0" w:space="0" w:color="auto"/>
            <w:right w:val="none" w:sz="0" w:space="0" w:color="auto"/>
          </w:divBdr>
        </w:div>
        <w:div w:id="138690036">
          <w:marLeft w:val="360"/>
          <w:marRight w:val="0"/>
          <w:marTop w:val="200"/>
          <w:marBottom w:val="0"/>
          <w:divBdr>
            <w:top w:val="none" w:sz="0" w:space="0" w:color="auto"/>
            <w:left w:val="none" w:sz="0" w:space="0" w:color="auto"/>
            <w:bottom w:val="none" w:sz="0" w:space="0" w:color="auto"/>
            <w:right w:val="none" w:sz="0" w:space="0" w:color="auto"/>
          </w:divBdr>
        </w:div>
        <w:div w:id="978727642">
          <w:marLeft w:val="360"/>
          <w:marRight w:val="0"/>
          <w:marTop w:val="200"/>
          <w:marBottom w:val="0"/>
          <w:divBdr>
            <w:top w:val="none" w:sz="0" w:space="0" w:color="auto"/>
            <w:left w:val="none" w:sz="0" w:space="0" w:color="auto"/>
            <w:bottom w:val="none" w:sz="0" w:space="0" w:color="auto"/>
            <w:right w:val="none" w:sz="0" w:space="0" w:color="auto"/>
          </w:divBdr>
        </w:div>
        <w:div w:id="1613440321">
          <w:marLeft w:val="360"/>
          <w:marRight w:val="0"/>
          <w:marTop w:val="200"/>
          <w:marBottom w:val="0"/>
          <w:divBdr>
            <w:top w:val="none" w:sz="0" w:space="0" w:color="auto"/>
            <w:left w:val="none" w:sz="0" w:space="0" w:color="auto"/>
            <w:bottom w:val="none" w:sz="0" w:space="0" w:color="auto"/>
            <w:right w:val="none" w:sz="0" w:space="0" w:color="auto"/>
          </w:divBdr>
        </w:div>
      </w:divsChild>
    </w:div>
    <w:div w:id="1039743342">
      <w:bodyDiv w:val="1"/>
      <w:marLeft w:val="0"/>
      <w:marRight w:val="0"/>
      <w:marTop w:val="0"/>
      <w:marBottom w:val="0"/>
      <w:divBdr>
        <w:top w:val="none" w:sz="0" w:space="0" w:color="auto"/>
        <w:left w:val="none" w:sz="0" w:space="0" w:color="auto"/>
        <w:bottom w:val="none" w:sz="0" w:space="0" w:color="auto"/>
        <w:right w:val="none" w:sz="0" w:space="0" w:color="auto"/>
      </w:divBdr>
      <w:divsChild>
        <w:div w:id="1911382505">
          <w:marLeft w:val="360"/>
          <w:marRight w:val="0"/>
          <w:marTop w:val="200"/>
          <w:marBottom w:val="0"/>
          <w:divBdr>
            <w:top w:val="none" w:sz="0" w:space="0" w:color="auto"/>
            <w:left w:val="none" w:sz="0" w:space="0" w:color="auto"/>
            <w:bottom w:val="none" w:sz="0" w:space="0" w:color="auto"/>
            <w:right w:val="none" w:sz="0" w:space="0" w:color="auto"/>
          </w:divBdr>
        </w:div>
        <w:div w:id="1837381811">
          <w:marLeft w:val="360"/>
          <w:marRight w:val="0"/>
          <w:marTop w:val="200"/>
          <w:marBottom w:val="0"/>
          <w:divBdr>
            <w:top w:val="none" w:sz="0" w:space="0" w:color="auto"/>
            <w:left w:val="none" w:sz="0" w:space="0" w:color="auto"/>
            <w:bottom w:val="none" w:sz="0" w:space="0" w:color="auto"/>
            <w:right w:val="none" w:sz="0" w:space="0" w:color="auto"/>
          </w:divBdr>
        </w:div>
      </w:divsChild>
    </w:div>
    <w:div w:id="1108234569">
      <w:bodyDiv w:val="1"/>
      <w:marLeft w:val="0"/>
      <w:marRight w:val="0"/>
      <w:marTop w:val="0"/>
      <w:marBottom w:val="0"/>
      <w:divBdr>
        <w:top w:val="none" w:sz="0" w:space="0" w:color="auto"/>
        <w:left w:val="none" w:sz="0" w:space="0" w:color="auto"/>
        <w:bottom w:val="none" w:sz="0" w:space="0" w:color="auto"/>
        <w:right w:val="none" w:sz="0" w:space="0" w:color="auto"/>
      </w:divBdr>
    </w:div>
    <w:div w:id="170263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707</Words>
  <Characters>3748</Characters>
  <Application>Microsoft Office Word</Application>
  <DocSecurity>0</DocSecurity>
  <Lines>31</Lines>
  <Paragraphs>8</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Helse Sør-Øst</Company>
  <LinksUpToDate>false</LinksUpToDate>
  <CharactersWithSpaces>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Gro Owren Nygaard</dc:creator>
  <cp:lastModifiedBy>Katarina Zak Stangeland</cp:lastModifiedBy>
  <cp:revision>2</cp:revision>
  <cp:lastPrinted>2021-09-13T10:15:00Z</cp:lastPrinted>
  <dcterms:created xsi:type="dcterms:W3CDTF">2021-09-14T06:53:00Z</dcterms:created>
  <dcterms:modified xsi:type="dcterms:W3CDTF">2021-09-14T06:53:00Z</dcterms:modified>
</cp:coreProperties>
</file>