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47B2" w14:textId="09EF8B87" w:rsidR="00786B55" w:rsidRDefault="00786B55">
      <w:pPr>
        <w:pStyle w:val="Tittel"/>
      </w:pPr>
      <w:r>
        <w:t xml:space="preserve">Norsk </w:t>
      </w:r>
      <w:r w:rsidR="004F5D6A">
        <w:t>C</w:t>
      </w:r>
      <w:r>
        <w:t xml:space="preserve">ardiologisk </w:t>
      </w:r>
      <w:r w:rsidR="004F5D6A">
        <w:t>S</w:t>
      </w:r>
      <w:r>
        <w:t>elskap – kvalitetsutvalget</w:t>
      </w:r>
    </w:p>
    <w:p w14:paraId="53086BF4" w14:textId="77777777" w:rsidR="00786B55" w:rsidRDefault="00786B55"/>
    <w:p w14:paraId="052245E3" w14:textId="77777777" w:rsidR="00786B55" w:rsidRDefault="00786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86B55" w:rsidRPr="007D7965" w14:paraId="657DC471" w14:textId="77777777">
        <w:tc>
          <w:tcPr>
            <w:tcW w:w="9212" w:type="dxa"/>
          </w:tcPr>
          <w:p w14:paraId="0EDFCB91" w14:textId="1CEC313C" w:rsidR="00551C43" w:rsidRPr="006E1C20" w:rsidRDefault="00B9262E" w:rsidP="00B402E4">
            <w:pPr>
              <w:autoSpaceDE w:val="0"/>
              <w:autoSpaceDN w:val="0"/>
              <w:adjustRightInd w:val="0"/>
              <w:rPr>
                <w:color w:val="000000"/>
                <w:sz w:val="28"/>
                <w:szCs w:val="28"/>
                <w:lang w:val="en-US"/>
              </w:rPr>
            </w:pPr>
            <w:r w:rsidRPr="00B9262E">
              <w:rPr>
                <w:b/>
                <w:lang w:val="en-US"/>
              </w:rPr>
              <w:t>2020 ESC Guidelines for the diagnosis and management of atrial fibrillation developed in collaboration with the European Association of Cardio-Thoracic Surgery (EACTS)</w:t>
            </w:r>
            <w:r w:rsidR="00794CDC" w:rsidRPr="00702FE8">
              <w:rPr>
                <w:b/>
                <w:lang w:val="en-US"/>
              </w:rPr>
              <w:br/>
            </w:r>
          </w:p>
          <w:p w14:paraId="6F52B944" w14:textId="7696CDFB" w:rsidR="00794CDC" w:rsidRPr="00110E05" w:rsidRDefault="00B67D65" w:rsidP="006B3C31">
            <w:pPr>
              <w:autoSpaceDE w:val="0"/>
              <w:autoSpaceDN w:val="0"/>
              <w:adjustRightInd w:val="0"/>
              <w:rPr>
                <w:sz w:val="22"/>
                <w:szCs w:val="22"/>
                <w:lang w:val="en-US"/>
              </w:rPr>
            </w:pPr>
            <w:hyperlink r:id="rId6" w:history="1">
              <w:r w:rsidR="002073D1" w:rsidRPr="00110E05">
                <w:rPr>
                  <w:rStyle w:val="Hyperkobling"/>
                  <w:sz w:val="22"/>
                  <w:szCs w:val="22"/>
                  <w:lang w:val="en-US"/>
                </w:rPr>
                <w:t>https://www.escardio.org/Guidelines/Clinical-Practice-Guidelines/Atrial-Fibrillation-Management</w:t>
              </w:r>
            </w:hyperlink>
          </w:p>
          <w:p w14:paraId="20BC99EC" w14:textId="77777777" w:rsidR="002073D1" w:rsidRPr="00110E05" w:rsidRDefault="002073D1" w:rsidP="006B3C31">
            <w:pPr>
              <w:autoSpaceDE w:val="0"/>
              <w:autoSpaceDN w:val="0"/>
              <w:adjustRightInd w:val="0"/>
              <w:rPr>
                <w:color w:val="000000"/>
                <w:sz w:val="22"/>
                <w:szCs w:val="22"/>
                <w:lang w:val="en-US"/>
              </w:rPr>
            </w:pPr>
          </w:p>
          <w:p w14:paraId="539A6767" w14:textId="34E33102" w:rsidR="003D2E92" w:rsidRPr="002073D1" w:rsidRDefault="00480A46" w:rsidP="00480A46">
            <w:pPr>
              <w:autoSpaceDE w:val="0"/>
              <w:autoSpaceDN w:val="0"/>
              <w:adjustRightInd w:val="0"/>
              <w:rPr>
                <w:color w:val="000000"/>
                <w:lang w:val="en-US"/>
              </w:rPr>
            </w:pPr>
            <w:r w:rsidRPr="00110E05">
              <w:rPr>
                <w:sz w:val="22"/>
                <w:szCs w:val="22"/>
                <w:lang w:val="en-US"/>
              </w:rPr>
              <w:t xml:space="preserve">Eur Heart J. </w:t>
            </w:r>
            <w:r w:rsidR="00C33667">
              <w:rPr>
                <w:sz w:val="22"/>
                <w:szCs w:val="22"/>
                <w:lang w:val="en-US"/>
              </w:rPr>
              <w:t>(</w:t>
            </w:r>
            <w:r w:rsidRPr="00110E05">
              <w:rPr>
                <w:sz w:val="22"/>
                <w:szCs w:val="22"/>
                <w:lang w:val="en-US"/>
              </w:rPr>
              <w:t>2020</w:t>
            </w:r>
            <w:r w:rsidR="00C33667">
              <w:rPr>
                <w:sz w:val="22"/>
                <w:szCs w:val="22"/>
                <w:lang w:val="en-US"/>
              </w:rPr>
              <w:t>): 00, 1-25</w:t>
            </w:r>
            <w:r w:rsidRPr="00110E05">
              <w:rPr>
                <w:sz w:val="22"/>
                <w:szCs w:val="22"/>
                <w:lang w:val="en-US"/>
              </w:rPr>
              <w:t xml:space="preserve">                                           </w:t>
            </w:r>
            <w:r w:rsidR="00C33667">
              <w:rPr>
                <w:sz w:val="22"/>
                <w:szCs w:val="22"/>
                <w:lang w:val="en-US"/>
              </w:rPr>
              <w:t xml:space="preserve">                 </w:t>
            </w:r>
            <w:r w:rsidR="002073D1" w:rsidRPr="00110E05">
              <w:rPr>
                <w:rStyle w:val="docsum-journal-citation"/>
                <w:sz w:val="22"/>
                <w:szCs w:val="22"/>
                <w:lang w:val="en-US"/>
              </w:rPr>
              <w:t>doi: 10.1093/eurheartj/ehaa612</w:t>
            </w:r>
          </w:p>
        </w:tc>
      </w:tr>
      <w:tr w:rsidR="00786B55" w14:paraId="309BEB5D" w14:textId="77777777">
        <w:tc>
          <w:tcPr>
            <w:tcW w:w="9212" w:type="dxa"/>
          </w:tcPr>
          <w:p w14:paraId="24E5FDB7" w14:textId="77777777" w:rsidR="00794CDC" w:rsidRPr="002D65ED" w:rsidRDefault="00794CDC" w:rsidP="00423D1A">
            <w:pPr>
              <w:pStyle w:val="Lysliste-uthevingsfarge51"/>
              <w:ind w:left="357"/>
              <w:rPr>
                <w:rFonts w:ascii="Times New Roman" w:hAnsi="Times New Roman" w:cs="Times New Roman"/>
                <w:sz w:val="24"/>
                <w:szCs w:val="24"/>
                <w:lang w:val="en-US"/>
              </w:rPr>
            </w:pPr>
          </w:p>
          <w:p w14:paraId="097C8696" w14:textId="77777777" w:rsidR="00E11E46" w:rsidRPr="00110E05" w:rsidRDefault="00786B55" w:rsidP="00E11E46">
            <w:pPr>
              <w:rPr>
                <w:sz w:val="22"/>
                <w:szCs w:val="22"/>
              </w:rPr>
            </w:pPr>
            <w:r w:rsidRPr="00110E05">
              <w:rPr>
                <w:sz w:val="22"/>
                <w:szCs w:val="22"/>
              </w:rPr>
              <w:t xml:space="preserve">Kvalitetsutvalget har innhentet </w:t>
            </w:r>
            <w:r w:rsidR="00CE48A5" w:rsidRPr="00110E05">
              <w:rPr>
                <w:sz w:val="22"/>
                <w:szCs w:val="22"/>
              </w:rPr>
              <w:t xml:space="preserve">felles </w:t>
            </w:r>
            <w:r w:rsidRPr="00110E05">
              <w:rPr>
                <w:sz w:val="22"/>
                <w:szCs w:val="22"/>
              </w:rPr>
              <w:t xml:space="preserve">uttalelse fra: </w:t>
            </w:r>
          </w:p>
          <w:p w14:paraId="3AABA9A4" w14:textId="3B640F18" w:rsidR="00E11E46" w:rsidRPr="00110E05" w:rsidRDefault="00E11E46" w:rsidP="00E11E46">
            <w:pPr>
              <w:rPr>
                <w:sz w:val="22"/>
                <w:szCs w:val="22"/>
              </w:rPr>
            </w:pPr>
            <w:r w:rsidRPr="00110E05">
              <w:rPr>
                <w:sz w:val="22"/>
                <w:szCs w:val="22"/>
              </w:rPr>
              <w:t xml:space="preserve">Ole-Gunnar Anfinsen, </w:t>
            </w:r>
            <w:r w:rsidR="007D7965">
              <w:rPr>
                <w:sz w:val="22"/>
                <w:szCs w:val="22"/>
              </w:rPr>
              <w:t>o</w:t>
            </w:r>
            <w:r w:rsidR="007D7965" w:rsidRPr="00110E05">
              <w:rPr>
                <w:sz w:val="22"/>
                <w:szCs w:val="22"/>
              </w:rPr>
              <w:t>verlege</w:t>
            </w:r>
            <w:r w:rsidR="007D7965">
              <w:rPr>
                <w:sz w:val="22"/>
                <w:szCs w:val="22"/>
              </w:rPr>
              <w:t>,</w:t>
            </w:r>
            <w:r w:rsidR="007D7965" w:rsidRPr="00110E05">
              <w:rPr>
                <w:sz w:val="22"/>
                <w:szCs w:val="22"/>
              </w:rPr>
              <w:t xml:space="preserve"> </w:t>
            </w:r>
            <w:r w:rsidRPr="00110E05">
              <w:rPr>
                <w:sz w:val="22"/>
                <w:szCs w:val="22"/>
              </w:rPr>
              <w:t>dr.med., Arytmiseksjonen, Kardiologisk avdeling, OUS</w:t>
            </w:r>
            <w:r w:rsidR="007D7965">
              <w:rPr>
                <w:sz w:val="22"/>
                <w:szCs w:val="22"/>
              </w:rPr>
              <w:t>,</w:t>
            </w:r>
            <w:r w:rsidRPr="00110E05">
              <w:rPr>
                <w:sz w:val="22"/>
                <w:szCs w:val="22"/>
              </w:rPr>
              <w:t xml:space="preserve"> Rikshospitalet</w:t>
            </w:r>
          </w:p>
          <w:p w14:paraId="474C53A0" w14:textId="08A3DFDE" w:rsidR="00E11E46" w:rsidRPr="00110E05" w:rsidRDefault="00E11E46" w:rsidP="00E11E46">
            <w:pPr>
              <w:rPr>
                <w:sz w:val="22"/>
                <w:szCs w:val="22"/>
              </w:rPr>
            </w:pPr>
            <w:r w:rsidRPr="00110E05">
              <w:rPr>
                <w:sz w:val="22"/>
                <w:szCs w:val="22"/>
              </w:rPr>
              <w:t xml:space="preserve">Arnljot Tveit, </w:t>
            </w:r>
            <w:r w:rsidR="007D7965">
              <w:rPr>
                <w:sz w:val="22"/>
                <w:szCs w:val="22"/>
              </w:rPr>
              <w:t>p</w:t>
            </w:r>
            <w:r w:rsidR="007D7965" w:rsidRPr="00110E05">
              <w:rPr>
                <w:sz w:val="22"/>
                <w:szCs w:val="22"/>
              </w:rPr>
              <w:t xml:space="preserve">rofessor </w:t>
            </w:r>
            <w:r w:rsidRPr="00110E05">
              <w:rPr>
                <w:sz w:val="22"/>
                <w:szCs w:val="22"/>
              </w:rPr>
              <w:t>og avdelingssjef, Institutt for Klinisk medisin, Universitetet i Oslo og Avdeling for Medisinsk forskning, Bærum Sykehus, Vestre Viken HF</w:t>
            </w:r>
          </w:p>
          <w:p w14:paraId="0040C1FA" w14:textId="77777777" w:rsidR="00B52E95" w:rsidRPr="002D65ED" w:rsidRDefault="00B52E95" w:rsidP="00B52E95"/>
          <w:p w14:paraId="4F5E43ED" w14:textId="77777777" w:rsidR="00CE48A5" w:rsidRPr="00F73EC2" w:rsidRDefault="00CE48A5" w:rsidP="00CE48A5">
            <w:pPr>
              <w:shd w:val="clear" w:color="auto" w:fill="FFFFFF"/>
              <w:spacing w:before="120" w:after="120" w:line="270" w:lineRule="atLeast"/>
              <w:rPr>
                <w:bCs/>
                <w:sz w:val="22"/>
                <w:szCs w:val="22"/>
              </w:rPr>
            </w:pPr>
            <w:r w:rsidRPr="00F73EC2">
              <w:rPr>
                <w:bCs/>
                <w:i/>
                <w:sz w:val="22"/>
                <w:szCs w:val="22"/>
              </w:rPr>
              <w:t>Deres vurd</w:t>
            </w:r>
            <w:r w:rsidR="00E076DB" w:rsidRPr="00F73EC2">
              <w:rPr>
                <w:bCs/>
                <w:i/>
                <w:sz w:val="22"/>
                <w:szCs w:val="22"/>
              </w:rPr>
              <w:t>ering for norske forhold gjengis</w:t>
            </w:r>
            <w:r w:rsidRPr="00F73EC2">
              <w:rPr>
                <w:bCs/>
                <w:i/>
                <w:sz w:val="22"/>
                <w:szCs w:val="22"/>
              </w:rPr>
              <w:t xml:space="preserve"> </w:t>
            </w:r>
            <w:r w:rsidR="00E076DB" w:rsidRPr="00F73EC2">
              <w:rPr>
                <w:bCs/>
                <w:i/>
                <w:sz w:val="22"/>
                <w:szCs w:val="22"/>
              </w:rPr>
              <w:t>(noe</w:t>
            </w:r>
            <w:r w:rsidRPr="00F73EC2">
              <w:rPr>
                <w:bCs/>
                <w:i/>
                <w:sz w:val="22"/>
                <w:szCs w:val="22"/>
              </w:rPr>
              <w:t xml:space="preserve"> </w:t>
            </w:r>
            <w:r w:rsidR="00E076DB" w:rsidRPr="00F73EC2">
              <w:rPr>
                <w:bCs/>
                <w:i/>
                <w:sz w:val="22"/>
                <w:szCs w:val="22"/>
              </w:rPr>
              <w:t xml:space="preserve">forkortet </w:t>
            </w:r>
            <w:r w:rsidR="000C66B2" w:rsidRPr="00F73EC2">
              <w:rPr>
                <w:bCs/>
                <w:i/>
                <w:sz w:val="22"/>
                <w:szCs w:val="22"/>
              </w:rPr>
              <w:t xml:space="preserve">og tilpasset </w:t>
            </w:r>
            <w:r w:rsidRPr="00F73EC2">
              <w:rPr>
                <w:bCs/>
                <w:i/>
                <w:sz w:val="22"/>
                <w:szCs w:val="22"/>
              </w:rPr>
              <w:t>av KU</w:t>
            </w:r>
            <w:r w:rsidR="00E076DB" w:rsidRPr="00F73EC2">
              <w:rPr>
                <w:bCs/>
                <w:i/>
                <w:sz w:val="22"/>
                <w:szCs w:val="22"/>
              </w:rPr>
              <w:t>)</w:t>
            </w:r>
            <w:r w:rsidRPr="00F73EC2">
              <w:rPr>
                <w:bCs/>
                <w:i/>
                <w:sz w:val="22"/>
                <w:szCs w:val="22"/>
              </w:rPr>
              <w:t>:</w:t>
            </w:r>
          </w:p>
          <w:p w14:paraId="756FA4E5" w14:textId="3BE8C3EB" w:rsidR="002D65ED" w:rsidRPr="002D65ED" w:rsidRDefault="002D65ED" w:rsidP="002D65ED">
            <w:pPr>
              <w:spacing w:after="200" w:line="276" w:lineRule="auto"/>
              <w:rPr>
                <w:sz w:val="22"/>
                <w:szCs w:val="22"/>
              </w:rPr>
            </w:pPr>
            <w:r w:rsidRPr="002D65ED">
              <w:rPr>
                <w:sz w:val="22"/>
                <w:szCs w:val="22"/>
              </w:rPr>
              <w:t>De europeiske retningslinjene for atrieflimmer oppdateres hvert fjerde år. Årets utgave ble presentert og publisert i forbindelse med den digitale ESC-konferansen i august. Igjen har vi fått et omfattende dokument som presenterer dagens kunnskapsnivå og anbefalinger for behandling, med særlig vekt på studier som er nye siden forrige versjon i 2016. I tillegg til fulltekst-dokumentet er det publisert både en kortversjon både i pocket-format og app-versjon</w:t>
            </w:r>
            <w:r w:rsidR="00E95647">
              <w:rPr>
                <w:sz w:val="22"/>
                <w:szCs w:val="22"/>
              </w:rPr>
              <w:t>.</w:t>
            </w:r>
            <w:r w:rsidRPr="002D65ED">
              <w:rPr>
                <w:sz w:val="22"/>
                <w:szCs w:val="22"/>
              </w:rPr>
              <w:t xml:space="preserve"> </w:t>
            </w:r>
          </w:p>
          <w:p w14:paraId="5715DD86" w14:textId="45C87D67" w:rsidR="002D65ED" w:rsidRPr="002D65ED" w:rsidRDefault="002D65ED" w:rsidP="002D65ED">
            <w:pPr>
              <w:spacing w:after="200" w:line="276" w:lineRule="auto"/>
              <w:rPr>
                <w:sz w:val="22"/>
                <w:szCs w:val="22"/>
              </w:rPr>
            </w:pPr>
            <w:r w:rsidRPr="002D65ED">
              <w:rPr>
                <w:sz w:val="22"/>
                <w:szCs w:val="22"/>
              </w:rPr>
              <w:t xml:space="preserve">De største nyhetene er en ny didaktisk tilnærming og bedre illustrasjoner. </w:t>
            </w:r>
            <w:r w:rsidR="00B76839">
              <w:rPr>
                <w:sz w:val="22"/>
                <w:szCs w:val="22"/>
              </w:rPr>
              <w:t>I årets retningslinjer plasseres</w:t>
            </w:r>
            <w:r w:rsidRPr="002D65ED">
              <w:rPr>
                <w:sz w:val="22"/>
                <w:szCs w:val="22"/>
              </w:rPr>
              <w:t xml:space="preserve"> pasienten i sentrum for en tverrfaglig oppfølging der kardiologen deler ansvar med fastlege, atrieflimmersykepleier og pasientens egen familie/omsorgspersoner, mens elektrofysiologen har en mer perifer rolle og behandler selekterte pasienter. Det legges vekt på involvering av pasienten selv i behandlingen. Både alle de ulike faggruppene og pasientene selv har vært representert i skriveprosessen, og målet er at dokumentet skal være forståelig og lesbart for alle. </w:t>
            </w:r>
          </w:p>
          <w:p w14:paraId="7CE05317" w14:textId="5716D86D" w:rsidR="002D65ED" w:rsidRPr="002D65ED" w:rsidRDefault="002D65ED" w:rsidP="002D65ED">
            <w:pPr>
              <w:spacing w:after="200" w:line="276" w:lineRule="auto"/>
              <w:rPr>
                <w:sz w:val="22"/>
                <w:szCs w:val="22"/>
                <w:lang w:val="en-GB"/>
              </w:rPr>
            </w:pPr>
            <w:r w:rsidRPr="002D65ED">
              <w:rPr>
                <w:sz w:val="22"/>
                <w:szCs w:val="22"/>
                <w:lang w:val="en-GB"/>
              </w:rPr>
              <w:t>Bedret didaktikk innebærer nye «huskeregler» som «CC to ABC</w:t>
            </w:r>
            <w:bookmarkStart w:id="0" w:name="OLE_LINK1"/>
            <w:bookmarkStart w:id="1" w:name="OLE_LINK2"/>
            <w:r w:rsidRPr="002D65ED">
              <w:rPr>
                <w:sz w:val="22"/>
                <w:szCs w:val="22"/>
                <w:lang w:val="en-GB"/>
              </w:rPr>
              <w:t>»</w:t>
            </w:r>
            <w:bookmarkEnd w:id="0"/>
            <w:bookmarkEnd w:id="1"/>
            <w:r w:rsidRPr="002D65ED">
              <w:rPr>
                <w:sz w:val="22"/>
                <w:szCs w:val="22"/>
                <w:lang w:val="en-GB"/>
              </w:rPr>
              <w:t xml:space="preserve"> (Confirm AF, Characterize AF), «The 4S-AF-scheme» (Stroke risk, Symptom severity, Symptom burden, Substrate severity) og «Treat AF: The ABC pathway</w:t>
            </w:r>
            <w:r w:rsidR="00E95647">
              <w:rPr>
                <w:sz w:val="22"/>
                <w:szCs w:val="22"/>
                <w:lang w:val="en-GB"/>
              </w:rPr>
              <w:t>»</w:t>
            </w:r>
            <w:r w:rsidRPr="002D65ED">
              <w:rPr>
                <w:sz w:val="22"/>
                <w:szCs w:val="22"/>
                <w:lang w:val="en-GB"/>
              </w:rPr>
              <w:t xml:space="preserve"> (Anticoagulation/Avoid stroke, Better symptom control</w:t>
            </w:r>
            <w:r w:rsidR="00FB0A9A">
              <w:rPr>
                <w:sz w:val="22"/>
                <w:szCs w:val="22"/>
                <w:lang w:val="en-GB"/>
              </w:rPr>
              <w:t xml:space="preserve">, </w:t>
            </w:r>
            <w:r w:rsidRPr="002D65ED">
              <w:rPr>
                <w:sz w:val="22"/>
                <w:szCs w:val="22"/>
                <w:lang w:val="en-GB"/>
              </w:rPr>
              <w:t xml:space="preserve">Comorbidities/Cardiovascular risk factor management).  </w:t>
            </w:r>
          </w:p>
          <w:p w14:paraId="44E08B65" w14:textId="77777777" w:rsidR="002D65ED" w:rsidRPr="002D65ED" w:rsidRDefault="002D65ED" w:rsidP="002D65ED">
            <w:pPr>
              <w:spacing w:after="200" w:line="276" w:lineRule="auto"/>
              <w:rPr>
                <w:sz w:val="22"/>
                <w:szCs w:val="22"/>
              </w:rPr>
            </w:pPr>
            <w:r w:rsidRPr="002D65ED">
              <w:rPr>
                <w:sz w:val="22"/>
                <w:szCs w:val="22"/>
              </w:rPr>
              <w:t xml:space="preserve">Vi presenterer i det følgende noen av de emnene vi finner mest relevante. Listen er ikke komplett, så vi anbefaler interesserte lesere å gå til full tekst-dokumentet. </w:t>
            </w:r>
          </w:p>
          <w:p w14:paraId="75508D36" w14:textId="77777777" w:rsidR="002D65ED" w:rsidRPr="002D65ED" w:rsidRDefault="002D65ED" w:rsidP="002D65ED">
            <w:pPr>
              <w:spacing w:after="200" w:line="276" w:lineRule="auto"/>
              <w:rPr>
                <w:sz w:val="22"/>
                <w:szCs w:val="22"/>
                <w:u w:val="single"/>
              </w:rPr>
            </w:pPr>
            <w:r w:rsidRPr="002D65ED">
              <w:rPr>
                <w:i/>
                <w:sz w:val="22"/>
                <w:szCs w:val="22"/>
                <w:u w:val="single"/>
              </w:rPr>
              <w:t>Diagnostikk og screening</w:t>
            </w:r>
          </w:p>
          <w:p w14:paraId="2E46438F" w14:textId="5B7D7757" w:rsidR="002D65ED" w:rsidRPr="002D65ED" w:rsidRDefault="002D65ED" w:rsidP="002D65ED">
            <w:pPr>
              <w:numPr>
                <w:ilvl w:val="0"/>
                <w:numId w:val="7"/>
              </w:numPr>
              <w:spacing w:after="200" w:line="276" w:lineRule="auto"/>
              <w:contextualSpacing/>
              <w:rPr>
                <w:sz w:val="22"/>
                <w:szCs w:val="22"/>
              </w:rPr>
            </w:pPr>
            <w:r w:rsidRPr="002D65ED">
              <w:rPr>
                <w:sz w:val="22"/>
                <w:szCs w:val="22"/>
              </w:rPr>
              <w:t>Diagnosen «klinisk atrieflimmer» hviler på påvist atrieflimmer enten i en 30-sekunders rytmeregistrering (for eksempel Holter eller én-avlednings</w:t>
            </w:r>
            <w:r w:rsidR="004F5D6A">
              <w:rPr>
                <w:sz w:val="22"/>
                <w:szCs w:val="22"/>
              </w:rPr>
              <w:t>-</w:t>
            </w:r>
            <w:r w:rsidRPr="002D65ED">
              <w:rPr>
                <w:sz w:val="22"/>
                <w:szCs w:val="22"/>
              </w:rPr>
              <w:t>EKG) eller 12-kanalers</w:t>
            </w:r>
            <w:r w:rsidR="004F5D6A">
              <w:rPr>
                <w:sz w:val="22"/>
                <w:szCs w:val="22"/>
              </w:rPr>
              <w:t>-</w:t>
            </w:r>
            <w:r w:rsidRPr="002D65ED">
              <w:rPr>
                <w:sz w:val="22"/>
                <w:szCs w:val="22"/>
              </w:rPr>
              <w:t>EKG (10 s). Man diskuterer også betydningen av «subklinisk atrieflimmer» (</w:t>
            </w:r>
            <w:r w:rsidR="007D7965">
              <w:rPr>
                <w:sz w:val="22"/>
                <w:szCs w:val="22"/>
              </w:rPr>
              <w:t>a</w:t>
            </w:r>
            <w:r w:rsidR="007D7965" w:rsidRPr="002D65ED">
              <w:rPr>
                <w:sz w:val="22"/>
                <w:szCs w:val="22"/>
              </w:rPr>
              <w:t xml:space="preserve">trial </w:t>
            </w:r>
            <w:r w:rsidR="007D7965">
              <w:rPr>
                <w:sz w:val="22"/>
                <w:szCs w:val="22"/>
              </w:rPr>
              <w:t>h</w:t>
            </w:r>
            <w:r w:rsidR="007D7965" w:rsidRPr="002D65ED">
              <w:rPr>
                <w:sz w:val="22"/>
                <w:szCs w:val="22"/>
              </w:rPr>
              <w:t xml:space="preserve">igh </w:t>
            </w:r>
            <w:r w:rsidR="007D7965">
              <w:rPr>
                <w:sz w:val="22"/>
                <w:szCs w:val="22"/>
              </w:rPr>
              <w:t>r</w:t>
            </w:r>
            <w:r w:rsidR="007D7965" w:rsidRPr="002D65ED">
              <w:rPr>
                <w:sz w:val="22"/>
                <w:szCs w:val="22"/>
              </w:rPr>
              <w:t xml:space="preserve">ate </w:t>
            </w:r>
            <w:r w:rsidR="007D7965">
              <w:rPr>
                <w:sz w:val="22"/>
                <w:szCs w:val="22"/>
              </w:rPr>
              <w:t>e</w:t>
            </w:r>
            <w:r w:rsidR="007D7965" w:rsidRPr="002D65ED">
              <w:rPr>
                <w:sz w:val="22"/>
                <w:szCs w:val="22"/>
              </w:rPr>
              <w:t xml:space="preserve">pisodes </w:t>
            </w:r>
            <w:r w:rsidRPr="002D65ED">
              <w:rPr>
                <w:sz w:val="22"/>
                <w:szCs w:val="22"/>
              </w:rPr>
              <w:t>(AHRE) registrert i implanterte pacemakere og ICD</w:t>
            </w:r>
            <w:r w:rsidR="004F5D6A">
              <w:rPr>
                <w:sz w:val="22"/>
                <w:szCs w:val="22"/>
              </w:rPr>
              <w:t>-</w:t>
            </w:r>
            <w:r w:rsidRPr="002D65ED">
              <w:rPr>
                <w:sz w:val="22"/>
                <w:szCs w:val="22"/>
              </w:rPr>
              <w:t xml:space="preserve">er eller arytmi-suspekte registreringer fra «wearables» (smartklokker, pulsbelter eller annen ikke-medisinsk elektronikk)). Hovedregelen er at subklinisk </w:t>
            </w:r>
            <w:r w:rsidR="004F5D6A">
              <w:rPr>
                <w:sz w:val="22"/>
                <w:szCs w:val="22"/>
              </w:rPr>
              <w:t>atrieflimmer</w:t>
            </w:r>
            <w:r w:rsidRPr="002D65ED">
              <w:rPr>
                <w:sz w:val="22"/>
                <w:szCs w:val="22"/>
              </w:rPr>
              <w:t xml:space="preserve"> bør verifiseres med EKG. </w:t>
            </w:r>
          </w:p>
          <w:p w14:paraId="589A9100" w14:textId="2B974A36" w:rsidR="002D65ED" w:rsidRPr="002D65ED" w:rsidRDefault="002D65ED" w:rsidP="002D65ED">
            <w:pPr>
              <w:numPr>
                <w:ilvl w:val="0"/>
                <w:numId w:val="7"/>
              </w:numPr>
              <w:spacing w:after="200" w:line="276" w:lineRule="auto"/>
              <w:contextualSpacing/>
              <w:rPr>
                <w:sz w:val="22"/>
                <w:szCs w:val="22"/>
              </w:rPr>
            </w:pPr>
            <w:r w:rsidRPr="002D65ED">
              <w:rPr>
                <w:sz w:val="22"/>
                <w:szCs w:val="22"/>
              </w:rPr>
              <w:t>2016-</w:t>
            </w:r>
            <w:r w:rsidR="007D7965">
              <w:rPr>
                <w:sz w:val="22"/>
                <w:szCs w:val="22"/>
              </w:rPr>
              <w:t>retningslinjene</w:t>
            </w:r>
            <w:r w:rsidR="007D7965" w:rsidRPr="002D65ED">
              <w:rPr>
                <w:sz w:val="22"/>
                <w:szCs w:val="22"/>
              </w:rPr>
              <w:t xml:space="preserve"> </w:t>
            </w:r>
            <w:r w:rsidRPr="002D65ED">
              <w:rPr>
                <w:sz w:val="22"/>
                <w:szCs w:val="22"/>
              </w:rPr>
              <w:t xml:space="preserve">anbefalte «opportunistisk screening </w:t>
            </w:r>
            <w:r w:rsidR="007D7965">
              <w:rPr>
                <w:sz w:val="22"/>
                <w:szCs w:val="22"/>
              </w:rPr>
              <w:t xml:space="preserve">hos personer </w:t>
            </w:r>
            <w:r w:rsidRPr="002D65ED">
              <w:rPr>
                <w:sz w:val="22"/>
                <w:szCs w:val="22"/>
              </w:rPr>
              <w:t>&gt; 65 år», dvs. pulspalpasjon eller EKG når pasienten likevel har legekontakt. Dette opprettholdes (I,</w:t>
            </w:r>
            <w:r w:rsidR="00D04D68">
              <w:rPr>
                <w:sz w:val="22"/>
                <w:szCs w:val="22"/>
              </w:rPr>
              <w:t xml:space="preserve"> B</w:t>
            </w:r>
            <w:r w:rsidRPr="002D65ED">
              <w:rPr>
                <w:sz w:val="22"/>
                <w:szCs w:val="22"/>
              </w:rPr>
              <w:t xml:space="preserve">), men årets retningslinjer anbefaler også systematisk å følge opp AHRE i pacemakere og </w:t>
            </w:r>
            <w:r w:rsidRPr="002D65ED">
              <w:rPr>
                <w:sz w:val="22"/>
                <w:szCs w:val="22"/>
              </w:rPr>
              <w:lastRenderedPageBreak/>
              <w:t>andre implanterte enheter (I, B), og man kan vurdere systematisk screening (hele befolkningsgrupper ut fra alder &gt; 75 år eller antatt økt risiko av annen årsak (IIa, B)</w:t>
            </w:r>
            <w:r w:rsidR="00F61A2E">
              <w:rPr>
                <w:sz w:val="22"/>
                <w:szCs w:val="22"/>
              </w:rPr>
              <w:t>)</w:t>
            </w:r>
            <w:r w:rsidRPr="002D65ED">
              <w:rPr>
                <w:sz w:val="22"/>
                <w:szCs w:val="22"/>
              </w:rPr>
              <w:t xml:space="preserve">. «Wearables» kan åpenbart gi mye informasjon, men vi har foreløpig ikke nok kunnskap til at det gis noen anbefaling om bruk av disse. Ved screening for </w:t>
            </w:r>
            <w:r w:rsidR="004F5D6A">
              <w:rPr>
                <w:sz w:val="22"/>
                <w:szCs w:val="22"/>
              </w:rPr>
              <w:t>atrieflimmer</w:t>
            </w:r>
            <w:r w:rsidRPr="002D65ED">
              <w:rPr>
                <w:sz w:val="22"/>
                <w:szCs w:val="22"/>
              </w:rPr>
              <w:t xml:space="preserve"> anbefales det at a) personene som gjennomgår screening blir informert om betydningen av og behandlingsimplikasjonene ved å oppdage </w:t>
            </w:r>
            <w:r w:rsidR="004F5D6A">
              <w:rPr>
                <w:sz w:val="22"/>
                <w:szCs w:val="22"/>
              </w:rPr>
              <w:t>atrieflimmer</w:t>
            </w:r>
            <w:r w:rsidR="007D7965">
              <w:rPr>
                <w:sz w:val="22"/>
                <w:szCs w:val="22"/>
              </w:rPr>
              <w:t>,</w:t>
            </w:r>
            <w:r w:rsidR="007D7965" w:rsidRPr="002D65ED">
              <w:rPr>
                <w:sz w:val="22"/>
                <w:szCs w:val="22"/>
              </w:rPr>
              <w:t xml:space="preserve"> </w:t>
            </w:r>
            <w:r w:rsidRPr="002D65ED">
              <w:rPr>
                <w:sz w:val="22"/>
                <w:szCs w:val="22"/>
              </w:rPr>
              <w:t>b) en strukturert henvisningsplattform finnes for screen-positive tilfeller, slik at disse blir fulgt opp av lege med tanke på klinisk evaluering, bekrefte eller avkrefte diagnosen og eventuelt iverksette optimal behandling</w:t>
            </w:r>
            <w:r w:rsidR="007D7965">
              <w:rPr>
                <w:sz w:val="22"/>
                <w:szCs w:val="22"/>
              </w:rPr>
              <w:t xml:space="preserve"> og</w:t>
            </w:r>
            <w:r w:rsidR="007D7965" w:rsidRPr="002D65ED">
              <w:rPr>
                <w:sz w:val="22"/>
                <w:szCs w:val="22"/>
              </w:rPr>
              <w:t xml:space="preserve"> </w:t>
            </w:r>
            <w:r w:rsidRPr="002D65ED">
              <w:rPr>
                <w:sz w:val="22"/>
                <w:szCs w:val="22"/>
              </w:rPr>
              <w:t xml:space="preserve">c) definitiv diagnose av </w:t>
            </w:r>
            <w:r w:rsidR="004F5D6A">
              <w:rPr>
                <w:sz w:val="22"/>
                <w:szCs w:val="22"/>
              </w:rPr>
              <w:t>atrieflimmer</w:t>
            </w:r>
            <w:r w:rsidRPr="002D65ED">
              <w:rPr>
                <w:sz w:val="22"/>
                <w:szCs w:val="22"/>
              </w:rPr>
              <w:t xml:space="preserve"> i screen</w:t>
            </w:r>
            <w:r w:rsidR="007D7965">
              <w:rPr>
                <w:sz w:val="22"/>
                <w:szCs w:val="22"/>
              </w:rPr>
              <w:t>ing</w:t>
            </w:r>
            <w:r w:rsidRPr="002D65ED">
              <w:rPr>
                <w:sz w:val="22"/>
                <w:szCs w:val="22"/>
              </w:rPr>
              <w:t xml:space="preserve">-positive tilfeller blir etablert først etter at legen har bekreftet </w:t>
            </w:r>
            <w:r w:rsidR="004F5D6A">
              <w:rPr>
                <w:sz w:val="22"/>
                <w:szCs w:val="22"/>
              </w:rPr>
              <w:t>atrieflimmer</w:t>
            </w:r>
            <w:r w:rsidRPr="002D65ED">
              <w:rPr>
                <w:sz w:val="22"/>
                <w:szCs w:val="22"/>
              </w:rPr>
              <w:t xml:space="preserve"> i EKG-opptaket med én avledning ≥ 30 s eller 12-</w:t>
            </w:r>
            <w:r w:rsidR="007D7965" w:rsidRPr="002D65ED">
              <w:rPr>
                <w:sz w:val="22"/>
                <w:szCs w:val="22"/>
              </w:rPr>
              <w:t>avlednings</w:t>
            </w:r>
            <w:r w:rsidR="007D7965">
              <w:rPr>
                <w:sz w:val="22"/>
                <w:szCs w:val="22"/>
              </w:rPr>
              <w:t>-</w:t>
            </w:r>
            <w:r w:rsidRPr="002D65ED">
              <w:rPr>
                <w:sz w:val="22"/>
                <w:szCs w:val="22"/>
              </w:rPr>
              <w:t>EKG (I, B).</w:t>
            </w:r>
          </w:p>
          <w:p w14:paraId="3CB994DA" w14:textId="2E5E2784" w:rsidR="002D65ED" w:rsidRPr="002D65ED" w:rsidRDefault="002D65ED" w:rsidP="002D65ED">
            <w:pPr>
              <w:spacing w:after="200" w:line="276" w:lineRule="auto"/>
              <w:rPr>
                <w:sz w:val="22"/>
                <w:szCs w:val="22"/>
              </w:rPr>
            </w:pPr>
            <w:r w:rsidRPr="002D65ED">
              <w:rPr>
                <w:b/>
                <w:bCs/>
                <w:i/>
                <w:sz w:val="22"/>
                <w:szCs w:val="22"/>
              </w:rPr>
              <w:t>Vurdering:</w:t>
            </w:r>
            <w:r w:rsidRPr="002D65ED">
              <w:rPr>
                <w:sz w:val="22"/>
                <w:szCs w:val="22"/>
              </w:rPr>
              <w:t xml:space="preserve"> Disse presiseringene synes riktige og nyttige i en tid der både nytten av screening ved hjelp av én-avlednings-EKG og «wearables» undersøkes i mange forskningsprosjekter internasjonalt.</w:t>
            </w:r>
          </w:p>
          <w:p w14:paraId="36903F98" w14:textId="77777777" w:rsidR="002D65ED" w:rsidRPr="002D65ED" w:rsidRDefault="002D65ED" w:rsidP="002D65ED">
            <w:pPr>
              <w:spacing w:after="200" w:line="276" w:lineRule="auto"/>
              <w:rPr>
                <w:i/>
                <w:sz w:val="22"/>
                <w:szCs w:val="22"/>
                <w:u w:val="single"/>
              </w:rPr>
            </w:pPr>
            <w:r w:rsidRPr="002D65ED">
              <w:rPr>
                <w:i/>
                <w:sz w:val="22"/>
                <w:szCs w:val="22"/>
                <w:u w:val="single"/>
              </w:rPr>
              <w:t>Strukturert helhetlig tilnærming og pasientmedvirkning</w:t>
            </w:r>
          </w:p>
          <w:p w14:paraId="56E4803C" w14:textId="4D566AF3"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Som nevnt innledningsvis bør alle pasienter med </w:t>
            </w:r>
            <w:r w:rsidR="004F5D6A">
              <w:rPr>
                <w:sz w:val="22"/>
                <w:szCs w:val="22"/>
              </w:rPr>
              <w:t>atrieflimmer</w:t>
            </w:r>
            <w:r w:rsidRPr="002D65ED">
              <w:rPr>
                <w:sz w:val="22"/>
                <w:szCs w:val="22"/>
              </w:rPr>
              <w:t xml:space="preserve"> gjennomgå en strukturert utredning og karakterisering som inkluderer risiko for hjerneslag, grad av symptomer (EHRA-skår, livskvalitet), </w:t>
            </w:r>
            <w:r w:rsidR="004F5D6A">
              <w:rPr>
                <w:sz w:val="22"/>
                <w:szCs w:val="22"/>
              </w:rPr>
              <w:t>atrieflimmer</w:t>
            </w:r>
            <w:r w:rsidRPr="002D65ED">
              <w:rPr>
                <w:sz w:val="22"/>
                <w:szCs w:val="22"/>
              </w:rPr>
              <w:t>-byrde (hvor ofte og/eller hvor lenge) og kartlegging av underliggende substrat eller komorbiditet (IIa, C).</w:t>
            </w:r>
          </w:p>
          <w:p w14:paraId="17186BB8"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Vekttap anbefales til overvektige, særlig hos pasienter som skal til ablasjon, for å redusere flimmerbyrde og øke sjansen for gunstig resultat av behandlingen (I, B).</w:t>
            </w:r>
          </w:p>
          <w:p w14:paraId="1EE9373B" w14:textId="5FA885E6"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God blodtrykkskontroll er viktig for alle pasienter med hypertensjon, for å redusere </w:t>
            </w:r>
            <w:r w:rsidR="004F5D6A">
              <w:rPr>
                <w:sz w:val="22"/>
                <w:szCs w:val="22"/>
              </w:rPr>
              <w:t>atrieflimmer-</w:t>
            </w:r>
            <w:r w:rsidRPr="002D65ED">
              <w:rPr>
                <w:sz w:val="22"/>
                <w:szCs w:val="22"/>
              </w:rPr>
              <w:t>tilbakefall og risiko for hjerneslag og blødninger (I, B).</w:t>
            </w:r>
          </w:p>
          <w:p w14:paraId="73F88D8D" w14:textId="4690D7CA"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Fysisk aktivitet kan medvirke til å redusere forekomst av </w:t>
            </w:r>
            <w:r w:rsidR="004F5D6A">
              <w:rPr>
                <w:sz w:val="22"/>
                <w:szCs w:val="22"/>
              </w:rPr>
              <w:t>atrieflimmer</w:t>
            </w:r>
            <w:r w:rsidRPr="002D65ED">
              <w:rPr>
                <w:sz w:val="22"/>
                <w:szCs w:val="22"/>
              </w:rPr>
              <w:t xml:space="preserve"> (IIa, C), men overdrevet utholdenhetstrening kan ha motsatt effekt. </w:t>
            </w:r>
          </w:p>
          <w:p w14:paraId="215B4021" w14:textId="0751CB37"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Behandling av obstruktiv </w:t>
            </w:r>
            <w:r w:rsidR="007D7965" w:rsidRPr="002D65ED">
              <w:rPr>
                <w:sz w:val="22"/>
                <w:szCs w:val="22"/>
              </w:rPr>
              <w:t>søvnapn</w:t>
            </w:r>
            <w:r w:rsidR="007D7965">
              <w:rPr>
                <w:sz w:val="22"/>
                <w:szCs w:val="22"/>
              </w:rPr>
              <w:t>é</w:t>
            </w:r>
            <w:r w:rsidR="007D7965" w:rsidRPr="002D65ED">
              <w:rPr>
                <w:sz w:val="22"/>
                <w:szCs w:val="22"/>
              </w:rPr>
              <w:t xml:space="preserve"> </w:t>
            </w:r>
            <w:r w:rsidRPr="002D65ED">
              <w:rPr>
                <w:sz w:val="22"/>
                <w:szCs w:val="22"/>
              </w:rPr>
              <w:t xml:space="preserve">for å redusere risiko for </w:t>
            </w:r>
            <w:r w:rsidR="004F5D6A">
              <w:rPr>
                <w:sz w:val="22"/>
                <w:szCs w:val="22"/>
              </w:rPr>
              <w:t>atrieflimmer</w:t>
            </w:r>
            <w:r w:rsidRPr="002D65ED">
              <w:rPr>
                <w:sz w:val="22"/>
                <w:szCs w:val="22"/>
              </w:rPr>
              <w:t xml:space="preserve"> er nedgradert fra 2016 (IIa, C) til 2020 (IIb, C). Dette er i tråd med nøytrale forskningsresultater publisert av blant andre Traaen og medarbeidere i samarbeidsprosjekt mellom Oslo universitetssykehus og St. Olavs </w:t>
            </w:r>
            <w:r w:rsidR="004F5D6A">
              <w:rPr>
                <w:sz w:val="22"/>
                <w:szCs w:val="22"/>
              </w:rPr>
              <w:t>h</w:t>
            </w:r>
            <w:r w:rsidRPr="002D65ED">
              <w:rPr>
                <w:sz w:val="22"/>
                <w:szCs w:val="22"/>
              </w:rPr>
              <w:t xml:space="preserve">ospital i Trondheim. </w:t>
            </w:r>
          </w:p>
          <w:p w14:paraId="44B7E6AA" w14:textId="7CD5576F" w:rsidR="002D65ED" w:rsidRPr="002D65ED" w:rsidRDefault="002D65ED" w:rsidP="002D65ED">
            <w:pPr>
              <w:numPr>
                <w:ilvl w:val="0"/>
                <w:numId w:val="7"/>
              </w:numPr>
              <w:spacing w:after="200" w:line="276" w:lineRule="auto"/>
              <w:contextualSpacing/>
              <w:rPr>
                <w:sz w:val="22"/>
                <w:szCs w:val="22"/>
              </w:rPr>
            </w:pPr>
            <w:r w:rsidRPr="002D65ED">
              <w:rPr>
                <w:sz w:val="22"/>
                <w:szCs w:val="22"/>
              </w:rPr>
              <w:t>Det anbefales å registrere pasientrapporterte resultater/utfall («patient reported outcomes, PRO’s</w:t>
            </w:r>
            <w:r w:rsidR="009208AF">
              <w:rPr>
                <w:sz w:val="22"/>
                <w:szCs w:val="22"/>
              </w:rPr>
              <w:t>»</w:t>
            </w:r>
            <w:r w:rsidRPr="002D65ED">
              <w:rPr>
                <w:sz w:val="22"/>
                <w:szCs w:val="22"/>
              </w:rPr>
              <w:t>) i klinisk rutine for å måle suksess og forbedre pasientbehandlingen (I, C).</w:t>
            </w:r>
          </w:p>
          <w:p w14:paraId="5E18D5D5" w14:textId="02099E61" w:rsidR="002D65ED" w:rsidRPr="002D65ED" w:rsidRDefault="002D65ED" w:rsidP="002D65ED">
            <w:pPr>
              <w:spacing w:after="200" w:line="276" w:lineRule="auto"/>
              <w:rPr>
                <w:sz w:val="22"/>
                <w:szCs w:val="22"/>
              </w:rPr>
            </w:pPr>
            <w:r w:rsidRPr="002D65ED">
              <w:rPr>
                <w:b/>
                <w:bCs/>
                <w:i/>
                <w:sz w:val="22"/>
                <w:szCs w:val="22"/>
              </w:rPr>
              <w:t>Vurdering</w:t>
            </w:r>
            <w:r w:rsidRPr="002D65ED">
              <w:rPr>
                <w:b/>
                <w:bCs/>
                <w:sz w:val="22"/>
                <w:szCs w:val="22"/>
              </w:rPr>
              <w:t>:</w:t>
            </w:r>
            <w:r w:rsidRPr="002D65ED">
              <w:rPr>
                <w:sz w:val="22"/>
                <w:szCs w:val="22"/>
              </w:rPr>
              <w:t xml:space="preserve"> En helhetlig og tverrfaglig tilnærming til pasientene med </w:t>
            </w:r>
            <w:r w:rsidR="004F5D6A">
              <w:rPr>
                <w:sz w:val="22"/>
                <w:szCs w:val="22"/>
              </w:rPr>
              <w:t>atrieflimmer</w:t>
            </w:r>
            <w:r w:rsidRPr="002D65ED">
              <w:rPr>
                <w:sz w:val="22"/>
                <w:szCs w:val="22"/>
              </w:rPr>
              <w:t xml:space="preserve"> er både tidsriktig og godt vitenskapelig begrunnet. Man har nå støtte i randomiserte studier og registerstudier for at tiltak mot livsstilsfaktorer og underliggende sykdomstilstander kan redusere forekomsten av </w:t>
            </w:r>
            <w:r w:rsidR="004F5D6A">
              <w:rPr>
                <w:sz w:val="22"/>
                <w:szCs w:val="22"/>
              </w:rPr>
              <w:t>atrieflimmer</w:t>
            </w:r>
            <w:r w:rsidRPr="002D65ED">
              <w:rPr>
                <w:sz w:val="22"/>
                <w:szCs w:val="22"/>
              </w:rPr>
              <w:t xml:space="preserve"> (RACE 3, Cardio-Fit). </w:t>
            </w:r>
          </w:p>
          <w:p w14:paraId="79D0308E" w14:textId="67EDB5C6" w:rsidR="002D65ED" w:rsidRPr="002D65ED" w:rsidRDefault="002D65ED" w:rsidP="002D65ED">
            <w:pPr>
              <w:spacing w:after="200" w:line="276" w:lineRule="auto"/>
              <w:rPr>
                <w:sz w:val="22"/>
                <w:szCs w:val="22"/>
              </w:rPr>
            </w:pPr>
            <w:r w:rsidRPr="002D65ED">
              <w:rPr>
                <w:sz w:val="22"/>
                <w:szCs w:val="22"/>
              </w:rPr>
              <w:t xml:space="preserve">Det presiseres at begrepene «lone fibillation» og «valvular/non-valvular </w:t>
            </w:r>
            <w:r w:rsidR="004F5D6A">
              <w:rPr>
                <w:sz w:val="22"/>
                <w:szCs w:val="22"/>
              </w:rPr>
              <w:t>atrieflimmer</w:t>
            </w:r>
            <w:r w:rsidRPr="002D65ED">
              <w:rPr>
                <w:sz w:val="22"/>
                <w:szCs w:val="22"/>
              </w:rPr>
              <w:t>» er uklare og ikke bør brukes. «Kronisk atrieflimmer» er også et uklart uttrykk som bør utgå</w:t>
            </w:r>
            <w:r w:rsidR="00B22970">
              <w:rPr>
                <w:sz w:val="22"/>
                <w:szCs w:val="22"/>
              </w:rPr>
              <w:t>s</w:t>
            </w:r>
            <w:r w:rsidRPr="002D65ED">
              <w:rPr>
                <w:sz w:val="22"/>
                <w:szCs w:val="22"/>
              </w:rPr>
              <w:t xml:space="preserve"> fordi det kan ha forskjellige betydninger. Permanent atrieflimmer betegner pasienter som har atrieflimmer hele tiden og hvor man ikke har noen intensjon om å få tilbake sinusrytme. Den norske ICD-10 diagnose-klassifikasjonen bruker </w:t>
            </w:r>
            <w:r w:rsidR="00B76839">
              <w:rPr>
                <w:sz w:val="22"/>
                <w:szCs w:val="22"/>
              </w:rPr>
              <w:t>«</w:t>
            </w:r>
            <w:r w:rsidR="00355CFB">
              <w:rPr>
                <w:sz w:val="22"/>
                <w:szCs w:val="22"/>
              </w:rPr>
              <w:t>I</w:t>
            </w:r>
            <w:r w:rsidR="00355CFB" w:rsidRPr="002D65ED">
              <w:rPr>
                <w:sz w:val="22"/>
                <w:szCs w:val="22"/>
              </w:rPr>
              <w:t>48</w:t>
            </w:r>
            <w:r w:rsidRPr="002D65ED">
              <w:rPr>
                <w:sz w:val="22"/>
                <w:szCs w:val="22"/>
              </w:rPr>
              <w:t>.2 Kronisk atrieflimmer</w:t>
            </w:r>
            <w:r w:rsidR="00B76839">
              <w:rPr>
                <w:sz w:val="22"/>
                <w:szCs w:val="22"/>
              </w:rPr>
              <w:t>»</w:t>
            </w:r>
            <w:r w:rsidRPr="002D65ED">
              <w:rPr>
                <w:sz w:val="22"/>
                <w:szCs w:val="22"/>
              </w:rPr>
              <w:t xml:space="preserve"> om det som tilsvarer permanent atrieflimmer. </w:t>
            </w:r>
          </w:p>
          <w:p w14:paraId="42E3B22B" w14:textId="77777777" w:rsidR="002D65ED" w:rsidRPr="002D65ED" w:rsidRDefault="002D65ED" w:rsidP="002D65ED">
            <w:pPr>
              <w:spacing w:after="200" w:line="276" w:lineRule="auto"/>
              <w:rPr>
                <w:i/>
                <w:sz w:val="22"/>
                <w:szCs w:val="22"/>
                <w:u w:val="single"/>
              </w:rPr>
            </w:pPr>
            <w:r w:rsidRPr="002D65ED">
              <w:rPr>
                <w:i/>
                <w:sz w:val="22"/>
                <w:szCs w:val="22"/>
                <w:u w:val="single"/>
              </w:rPr>
              <w:t>Forebygging av hjerneslag</w:t>
            </w:r>
          </w:p>
          <w:p w14:paraId="3436FBC1"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Hovedlinjene for antikoagulasjonsbehandling er uendret fra tidligere. </w:t>
            </w:r>
          </w:p>
          <w:p w14:paraId="3C64F6AD"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Risiko for blødning og hjerneslag bør re-evalueres med jevne mellomrom (I, B). Hos pasienter med lav initial risiko bør første re-evaluering skje etter 4-6 måneder (IIa, B).</w:t>
            </w:r>
          </w:p>
          <w:p w14:paraId="08582357" w14:textId="256360FF" w:rsidR="002D65ED" w:rsidRPr="002D65ED" w:rsidRDefault="002D65ED" w:rsidP="002D65ED">
            <w:pPr>
              <w:numPr>
                <w:ilvl w:val="0"/>
                <w:numId w:val="7"/>
              </w:numPr>
              <w:spacing w:after="200" w:line="276" w:lineRule="auto"/>
              <w:contextualSpacing/>
              <w:rPr>
                <w:sz w:val="22"/>
                <w:szCs w:val="22"/>
              </w:rPr>
            </w:pPr>
            <w:r w:rsidRPr="002D65ED">
              <w:rPr>
                <w:sz w:val="22"/>
                <w:szCs w:val="22"/>
              </w:rPr>
              <w:lastRenderedPageBreak/>
              <w:t>For å vurdere blødningsrisiko anbefales det å bruke en strukturert risikoskår for å påvise både modifiserbare og ikke-modifiserbare risikofaktorer (I, B). HAS-BLED-skår kan være en hjelp for å behandle modifiserbare risikofaktorer og identifisere pasienter som har behov for intensivert oppfølging (IIa, B), men økt blødningsrisiko bør ikke i seg selv utelukke antikoagulasjonsbehandling.</w:t>
            </w:r>
          </w:p>
          <w:p w14:paraId="385087F0"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Langtids antikoagulasjonsbehandling bør vurderes ved atrieflimmer som oppstår i forløpet av ikke-kardial kirurgi (IIa, B) og kan vurderes ved atrieflimmer som oppstår i forløpet av hjertekirurgi (IIb, B).</w:t>
            </w:r>
          </w:p>
          <w:p w14:paraId="047BD909"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Hos pasienter som har gjennomgått intrakraniell blødning, men som har høy risiko for hjerneslag, bør man, i samråd med nevrolog/hjerneslagspesialist og etter nøye vurdering av risiko og nytte, vurdere gjenoppstart av oral antikoagulasjon (IIa, C).</w:t>
            </w:r>
          </w:p>
          <w:p w14:paraId="1E41CF64" w14:textId="708CD7F9" w:rsidR="002D65ED" w:rsidRPr="002D65ED" w:rsidRDefault="002D65ED" w:rsidP="002D65ED">
            <w:pPr>
              <w:spacing w:after="200" w:line="276" w:lineRule="auto"/>
              <w:rPr>
                <w:sz w:val="22"/>
                <w:szCs w:val="22"/>
              </w:rPr>
            </w:pPr>
            <w:r w:rsidRPr="002D65ED">
              <w:rPr>
                <w:b/>
                <w:bCs/>
                <w:i/>
                <w:sz w:val="22"/>
                <w:szCs w:val="22"/>
              </w:rPr>
              <w:t>Vurdering</w:t>
            </w:r>
            <w:r w:rsidRPr="002D65ED">
              <w:rPr>
                <w:b/>
                <w:bCs/>
                <w:sz w:val="22"/>
                <w:szCs w:val="22"/>
              </w:rPr>
              <w:t>:</w:t>
            </w:r>
            <w:r w:rsidRPr="002D65ED">
              <w:rPr>
                <w:sz w:val="22"/>
                <w:szCs w:val="22"/>
              </w:rPr>
              <w:t xml:space="preserve"> En påminnelse om å revurdere risiko for hjerneslag med visse intervaller og veie opp mot blødningsrisiko er nyttig og støttes.</w:t>
            </w:r>
          </w:p>
          <w:p w14:paraId="5DBDEDBE" w14:textId="77777777" w:rsidR="002D65ED" w:rsidRPr="002D65ED" w:rsidRDefault="002D65ED" w:rsidP="002D65ED">
            <w:pPr>
              <w:spacing w:after="200" w:line="276" w:lineRule="auto"/>
              <w:rPr>
                <w:i/>
                <w:sz w:val="22"/>
                <w:szCs w:val="22"/>
                <w:u w:val="single"/>
              </w:rPr>
            </w:pPr>
            <w:r w:rsidRPr="002D65ED">
              <w:rPr>
                <w:i/>
                <w:sz w:val="22"/>
                <w:szCs w:val="22"/>
                <w:u w:val="single"/>
              </w:rPr>
              <w:t>Konvertering</w:t>
            </w:r>
          </w:p>
          <w:p w14:paraId="5A5677A0" w14:textId="77777777"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NOAK anbefales før og etter konvertering med minst like høy sikkerhet og effektivitet som warfarin (I, A). </w:t>
            </w:r>
          </w:p>
          <w:p w14:paraId="42381AA7" w14:textId="1F882BC5" w:rsidR="002D65ED" w:rsidRPr="002D65ED" w:rsidRDefault="002D65ED" w:rsidP="002D65ED">
            <w:pPr>
              <w:numPr>
                <w:ilvl w:val="0"/>
                <w:numId w:val="7"/>
              </w:numPr>
              <w:spacing w:after="200" w:line="276" w:lineRule="auto"/>
              <w:contextualSpacing/>
              <w:rPr>
                <w:sz w:val="22"/>
                <w:szCs w:val="22"/>
              </w:rPr>
            </w:pPr>
            <w:r w:rsidRPr="002D65ED">
              <w:rPr>
                <w:sz w:val="22"/>
                <w:szCs w:val="22"/>
              </w:rPr>
              <w:t>Effektiv antikoagulasjonsbehandling bør startes så snart som mulig før enhver konvertering av atrieflimmer eller atrieflutter (IIa, B)</w:t>
            </w:r>
            <w:r w:rsidR="009208AF">
              <w:rPr>
                <w:sz w:val="22"/>
                <w:szCs w:val="22"/>
              </w:rPr>
              <w:t>.</w:t>
            </w:r>
          </w:p>
          <w:p w14:paraId="7D635739" w14:textId="331C2C7E"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Hos pasienter med </w:t>
            </w:r>
            <w:r w:rsidR="004F5D6A">
              <w:rPr>
                <w:sz w:val="22"/>
                <w:szCs w:val="22"/>
              </w:rPr>
              <w:t>atrieflimmer</w:t>
            </w:r>
            <w:r w:rsidRPr="002D65ED">
              <w:rPr>
                <w:sz w:val="22"/>
                <w:szCs w:val="22"/>
              </w:rPr>
              <w:t>-varighet &gt; 24 timer som gjennomgår konvertering bør terapeutisk antikoagulasjon fortsette i minst 4 uker uavhengig av CHA</w:t>
            </w:r>
            <w:r w:rsidRPr="00B67D65">
              <w:rPr>
                <w:sz w:val="22"/>
                <w:szCs w:val="22"/>
                <w:vertAlign w:val="subscript"/>
              </w:rPr>
              <w:t>2</w:t>
            </w:r>
            <w:r w:rsidRPr="002D65ED">
              <w:rPr>
                <w:sz w:val="22"/>
                <w:szCs w:val="22"/>
              </w:rPr>
              <w:t>DS</w:t>
            </w:r>
            <w:r w:rsidRPr="00B67D65">
              <w:rPr>
                <w:sz w:val="22"/>
                <w:szCs w:val="22"/>
                <w:vertAlign w:val="subscript"/>
              </w:rPr>
              <w:t>2</w:t>
            </w:r>
            <w:r w:rsidRPr="002D65ED">
              <w:rPr>
                <w:sz w:val="22"/>
                <w:szCs w:val="22"/>
              </w:rPr>
              <w:t>-VASc-skår, også etter vellykket konvertering til sinusrytme (IIa, B). Antikoagulasjonsbehandlingen kontinueres utover 4 uker dersom CHA</w:t>
            </w:r>
            <w:r w:rsidRPr="00B67D65">
              <w:rPr>
                <w:sz w:val="22"/>
                <w:szCs w:val="22"/>
                <w:vertAlign w:val="subscript"/>
              </w:rPr>
              <w:t>2</w:t>
            </w:r>
            <w:r w:rsidRPr="002D65ED">
              <w:rPr>
                <w:sz w:val="22"/>
                <w:szCs w:val="22"/>
              </w:rPr>
              <w:t>DS</w:t>
            </w:r>
            <w:r w:rsidRPr="00B67D65">
              <w:rPr>
                <w:sz w:val="22"/>
                <w:szCs w:val="22"/>
                <w:vertAlign w:val="subscript"/>
              </w:rPr>
              <w:t>2</w:t>
            </w:r>
            <w:r w:rsidRPr="002D65ED">
              <w:rPr>
                <w:sz w:val="22"/>
                <w:szCs w:val="22"/>
              </w:rPr>
              <w:t xml:space="preserve">-VASc-skår tilsier det. Hos pasienter med sikker varighet av </w:t>
            </w:r>
            <w:r w:rsidR="004F5D6A">
              <w:rPr>
                <w:sz w:val="22"/>
                <w:szCs w:val="22"/>
              </w:rPr>
              <w:t>atrieflimmer</w:t>
            </w:r>
            <w:r w:rsidRPr="002D65ED">
              <w:rPr>
                <w:sz w:val="22"/>
                <w:szCs w:val="22"/>
              </w:rPr>
              <w:t xml:space="preserve"> &lt; 24 timer før konvertering og svært lav risiko for hjerneslag (CHA</w:t>
            </w:r>
            <w:r w:rsidRPr="00B67D65">
              <w:rPr>
                <w:sz w:val="22"/>
                <w:szCs w:val="22"/>
                <w:vertAlign w:val="subscript"/>
              </w:rPr>
              <w:t>2</w:t>
            </w:r>
            <w:r w:rsidRPr="002D65ED">
              <w:rPr>
                <w:sz w:val="22"/>
                <w:szCs w:val="22"/>
              </w:rPr>
              <w:t>DS</w:t>
            </w:r>
            <w:r w:rsidRPr="00B67D65">
              <w:rPr>
                <w:sz w:val="22"/>
                <w:szCs w:val="22"/>
                <w:vertAlign w:val="subscript"/>
              </w:rPr>
              <w:t>2</w:t>
            </w:r>
            <w:r w:rsidRPr="002D65ED">
              <w:rPr>
                <w:sz w:val="22"/>
                <w:szCs w:val="22"/>
              </w:rPr>
              <w:t xml:space="preserve">-VASc skår på 0 hos menn og 1 hos kvinner) kan man avstå fra 4 uker antikoagulasjonsbehandling («OAC optional») (IIb, C). </w:t>
            </w:r>
          </w:p>
          <w:p w14:paraId="67162EC0" w14:textId="6B390887" w:rsidR="002D65ED" w:rsidRPr="002D65ED" w:rsidRDefault="002D65ED" w:rsidP="002D65ED">
            <w:pPr>
              <w:numPr>
                <w:ilvl w:val="0"/>
                <w:numId w:val="7"/>
              </w:numPr>
              <w:spacing w:after="200" w:line="276" w:lineRule="auto"/>
              <w:contextualSpacing/>
              <w:rPr>
                <w:sz w:val="22"/>
                <w:szCs w:val="22"/>
              </w:rPr>
            </w:pPr>
            <w:r w:rsidRPr="002D65ED">
              <w:rPr>
                <w:sz w:val="22"/>
                <w:szCs w:val="22"/>
              </w:rPr>
              <w:t>Transøsofagus-ekko</w:t>
            </w:r>
            <w:r w:rsidR="004F5D6A">
              <w:rPr>
                <w:sz w:val="22"/>
                <w:szCs w:val="22"/>
              </w:rPr>
              <w:t>kardiografi</w:t>
            </w:r>
            <w:r w:rsidRPr="002D65ED">
              <w:rPr>
                <w:sz w:val="22"/>
                <w:szCs w:val="22"/>
              </w:rPr>
              <w:t xml:space="preserve"> for å utelukke kardiale tromber og tidlig konvertering har en relativt sterk anbefaling (I, B) som alternativ til 3 uker </w:t>
            </w:r>
            <w:r w:rsidR="004F5D6A">
              <w:rPr>
                <w:sz w:val="22"/>
                <w:szCs w:val="22"/>
              </w:rPr>
              <w:t xml:space="preserve">med </w:t>
            </w:r>
            <w:r w:rsidRPr="002D65ED">
              <w:rPr>
                <w:sz w:val="22"/>
                <w:szCs w:val="22"/>
              </w:rPr>
              <w:t>antikoagulasjonsbehandling før elektrokonvertering ved atrieflimmer av &gt; 48 timers varighet.</w:t>
            </w:r>
          </w:p>
          <w:p w14:paraId="590C5E21" w14:textId="060907C0" w:rsidR="002D65ED" w:rsidRPr="002D65ED" w:rsidRDefault="002D65ED" w:rsidP="002D65ED">
            <w:pPr>
              <w:numPr>
                <w:ilvl w:val="0"/>
                <w:numId w:val="7"/>
              </w:numPr>
              <w:spacing w:after="200" w:line="276" w:lineRule="auto"/>
              <w:contextualSpacing/>
              <w:rPr>
                <w:sz w:val="22"/>
                <w:szCs w:val="22"/>
              </w:rPr>
            </w:pPr>
            <w:r w:rsidRPr="002D65ED">
              <w:rPr>
                <w:sz w:val="22"/>
                <w:szCs w:val="22"/>
              </w:rPr>
              <w:t xml:space="preserve">Farmakologisk konvertering er aktuelt kun hos hemodynamisk stabile pasienter etter vurdering av risiko for tromboemboli (I, B). Hos pasienter med syk sinusknutesyndrom, atrioventrikulære ledningsforstyrrelser eller forlenget QTc (&gt; 500 msek) bør farmakologisk konvertering ikke forsøkes med mindre man har gardert seg mot bradykardi og proarytmi (III, C). </w:t>
            </w:r>
          </w:p>
          <w:p w14:paraId="4A8404C9" w14:textId="07203F8B" w:rsidR="002D65ED" w:rsidRPr="002D65ED" w:rsidRDefault="002D65ED" w:rsidP="002D65ED">
            <w:pPr>
              <w:spacing w:after="200" w:line="276" w:lineRule="auto"/>
              <w:rPr>
                <w:sz w:val="22"/>
                <w:szCs w:val="22"/>
              </w:rPr>
            </w:pPr>
            <w:r w:rsidRPr="002D65ED">
              <w:rPr>
                <w:b/>
                <w:bCs/>
                <w:i/>
                <w:sz w:val="22"/>
                <w:szCs w:val="22"/>
                <w:u w:val="single"/>
              </w:rPr>
              <w:t>Vurdering</w:t>
            </w:r>
            <w:r w:rsidRPr="002D65ED">
              <w:rPr>
                <w:b/>
                <w:bCs/>
                <w:sz w:val="22"/>
                <w:szCs w:val="22"/>
              </w:rPr>
              <w:t>:</w:t>
            </w:r>
            <w:r w:rsidRPr="002D65ED">
              <w:rPr>
                <w:sz w:val="22"/>
                <w:szCs w:val="22"/>
              </w:rPr>
              <w:t xml:space="preserve"> Dette innebærer en nyansering i forhold til tidligere </w:t>
            </w:r>
            <w:r w:rsidR="004F5D6A">
              <w:rPr>
                <w:sz w:val="22"/>
                <w:szCs w:val="22"/>
              </w:rPr>
              <w:t>retningslinjer</w:t>
            </w:r>
            <w:r w:rsidRPr="002D65ED">
              <w:rPr>
                <w:sz w:val="22"/>
                <w:szCs w:val="22"/>
              </w:rPr>
              <w:t xml:space="preserve"> når det gjelder konvertering av atrieflimmer med 24 - 48 timers varighet, i retning av mer eksplisitt anbefaling av oppstart og fortsatt antikoagulasjonsbehandling i 4 uker. Anbefalingen hviler først og fremst på Finnish CardioVersion study (JAMA 2014; 312:</w:t>
            </w:r>
            <w:r w:rsidR="00EE145B">
              <w:rPr>
                <w:sz w:val="22"/>
                <w:szCs w:val="22"/>
              </w:rPr>
              <w:t xml:space="preserve"> </w:t>
            </w:r>
            <w:r w:rsidRPr="002D65ED">
              <w:rPr>
                <w:sz w:val="22"/>
                <w:szCs w:val="22"/>
              </w:rPr>
              <w:t xml:space="preserve">647-48). </w:t>
            </w:r>
          </w:p>
          <w:p w14:paraId="45B862F8" w14:textId="77777777" w:rsidR="002D65ED" w:rsidRPr="002D65ED" w:rsidRDefault="002D65ED" w:rsidP="002D65ED">
            <w:pPr>
              <w:spacing w:after="200" w:line="276" w:lineRule="auto"/>
              <w:rPr>
                <w:i/>
                <w:sz w:val="22"/>
                <w:szCs w:val="22"/>
                <w:u w:val="single"/>
              </w:rPr>
            </w:pPr>
            <w:r w:rsidRPr="002D65ED">
              <w:rPr>
                <w:i/>
                <w:sz w:val="22"/>
                <w:szCs w:val="22"/>
                <w:u w:val="single"/>
              </w:rPr>
              <w:t>Medikamentell antiarytmisk behandling</w:t>
            </w:r>
          </w:p>
          <w:p w14:paraId="4DB996AA" w14:textId="603731B5" w:rsidR="002D65ED" w:rsidRPr="002D65ED" w:rsidRDefault="002D65ED" w:rsidP="002D65ED">
            <w:pPr>
              <w:numPr>
                <w:ilvl w:val="0"/>
                <w:numId w:val="8"/>
              </w:numPr>
              <w:spacing w:after="200" w:line="276" w:lineRule="auto"/>
              <w:contextualSpacing/>
              <w:rPr>
                <w:sz w:val="22"/>
                <w:szCs w:val="22"/>
              </w:rPr>
            </w:pPr>
            <w:r w:rsidRPr="002D65ED">
              <w:rPr>
                <w:sz w:val="22"/>
                <w:szCs w:val="22"/>
              </w:rPr>
              <w:t xml:space="preserve">Amiodaron er oppgradert fra IIa, C i 2016 til I, A i 2020 når det gjelder langtids rytmekontroll, riktignok fortsatt med en presisering av at man pga. bivirkningsprofil bør vurdere andre antiarytmika først. </w:t>
            </w:r>
          </w:p>
          <w:p w14:paraId="63D5D80A" w14:textId="237B0906" w:rsidR="002D65ED" w:rsidRPr="002D65ED" w:rsidRDefault="002D65ED" w:rsidP="002D65ED">
            <w:pPr>
              <w:numPr>
                <w:ilvl w:val="0"/>
                <w:numId w:val="8"/>
              </w:numPr>
              <w:spacing w:after="200" w:line="276" w:lineRule="auto"/>
              <w:contextualSpacing/>
              <w:rPr>
                <w:sz w:val="22"/>
                <w:szCs w:val="22"/>
              </w:rPr>
            </w:pPr>
            <w:r w:rsidRPr="002D65ED">
              <w:rPr>
                <w:sz w:val="22"/>
                <w:szCs w:val="22"/>
              </w:rPr>
              <w:t xml:space="preserve">Sotalol er nedgradert fra I, A i 2016 til IIb, A i 2020 når det gjelder langtids rytmekontroll hos pasienter med normal venstre ventrikkelfunksjon eller iskemisk hjertesykdom. Hvis man </w:t>
            </w:r>
            <w:r w:rsidRPr="002D65ED">
              <w:rPr>
                <w:sz w:val="22"/>
                <w:szCs w:val="22"/>
              </w:rPr>
              <w:lastRenderedPageBreak/>
              <w:t xml:space="preserve">bruker Sotalol, er det en sterk anbefaling om monitorering av QT-intervall, </w:t>
            </w:r>
            <w:r w:rsidR="00EE145B" w:rsidRPr="002D65ED">
              <w:rPr>
                <w:sz w:val="22"/>
                <w:szCs w:val="22"/>
              </w:rPr>
              <w:t>serum</w:t>
            </w:r>
            <w:r w:rsidR="00EE145B">
              <w:rPr>
                <w:sz w:val="22"/>
                <w:szCs w:val="22"/>
              </w:rPr>
              <w:t>-</w:t>
            </w:r>
            <w:r w:rsidRPr="002D65ED">
              <w:rPr>
                <w:sz w:val="22"/>
                <w:szCs w:val="22"/>
              </w:rPr>
              <w:t xml:space="preserve">kalium, nyrefunksjon og andre risikofaktorer for proarytmi (I, B). </w:t>
            </w:r>
          </w:p>
          <w:p w14:paraId="62243F54" w14:textId="26C0E912" w:rsidR="001D62C9" w:rsidRDefault="002D65ED" w:rsidP="002D65ED">
            <w:pPr>
              <w:numPr>
                <w:ilvl w:val="0"/>
                <w:numId w:val="8"/>
              </w:numPr>
              <w:spacing w:after="200" w:line="276" w:lineRule="auto"/>
              <w:contextualSpacing/>
              <w:rPr>
                <w:sz w:val="22"/>
                <w:szCs w:val="22"/>
              </w:rPr>
            </w:pPr>
            <w:r w:rsidRPr="002D65ED">
              <w:rPr>
                <w:sz w:val="22"/>
                <w:szCs w:val="22"/>
              </w:rPr>
              <w:t xml:space="preserve">Dronedaron og </w:t>
            </w:r>
            <w:r w:rsidR="004F5D6A">
              <w:rPr>
                <w:sz w:val="22"/>
                <w:szCs w:val="22"/>
              </w:rPr>
              <w:t>f</w:t>
            </w:r>
            <w:r w:rsidRPr="002D65ED">
              <w:rPr>
                <w:sz w:val="22"/>
                <w:szCs w:val="22"/>
              </w:rPr>
              <w:t>lekainid har uendrede indikasjoner og anbefalinger som tidligere (I, A med reservasjon for henholdsvis hjertesvikt (</w:t>
            </w:r>
            <w:r w:rsidR="004F5D6A">
              <w:rPr>
                <w:sz w:val="22"/>
                <w:szCs w:val="22"/>
              </w:rPr>
              <w:t>d</w:t>
            </w:r>
            <w:r w:rsidRPr="002D65ED">
              <w:rPr>
                <w:sz w:val="22"/>
                <w:szCs w:val="22"/>
              </w:rPr>
              <w:t>ronedaron) eller strukturell hjertesykdom/</w:t>
            </w:r>
            <w:r w:rsidR="008B5F2B">
              <w:rPr>
                <w:sz w:val="22"/>
                <w:szCs w:val="22"/>
              </w:rPr>
              <w:t xml:space="preserve"> </w:t>
            </w:r>
            <w:r w:rsidRPr="002D65ED">
              <w:rPr>
                <w:sz w:val="22"/>
                <w:szCs w:val="22"/>
              </w:rPr>
              <w:t>kjent koronarsykdom (</w:t>
            </w:r>
            <w:r w:rsidR="004F5D6A">
              <w:rPr>
                <w:sz w:val="22"/>
                <w:szCs w:val="22"/>
              </w:rPr>
              <w:t>f</w:t>
            </w:r>
            <w:r w:rsidR="00EE145B">
              <w:rPr>
                <w:sz w:val="22"/>
                <w:szCs w:val="22"/>
              </w:rPr>
              <w:t>lekianid).</w:t>
            </w:r>
          </w:p>
          <w:p w14:paraId="7E42A599" w14:textId="77777777" w:rsidR="002D65ED" w:rsidRPr="002D65ED" w:rsidRDefault="002D65ED" w:rsidP="002D65ED">
            <w:pPr>
              <w:numPr>
                <w:ilvl w:val="0"/>
                <w:numId w:val="8"/>
              </w:numPr>
              <w:spacing w:after="200" w:line="276" w:lineRule="auto"/>
              <w:contextualSpacing/>
              <w:rPr>
                <w:sz w:val="22"/>
                <w:szCs w:val="22"/>
              </w:rPr>
            </w:pPr>
            <w:r w:rsidRPr="002D65ED">
              <w:rPr>
                <w:sz w:val="22"/>
                <w:szCs w:val="22"/>
              </w:rPr>
              <w:t>Ved bruk av flekainid for langtids rytmekontroll anbefales samtidig bruk av AV-knuteblokkerende medikament (IIa, C).</w:t>
            </w:r>
          </w:p>
          <w:p w14:paraId="5DD7CD06" w14:textId="29C3ADB6" w:rsidR="002D65ED" w:rsidRPr="002D65ED" w:rsidRDefault="002D65ED" w:rsidP="002D65ED">
            <w:pPr>
              <w:spacing w:after="200" w:line="276" w:lineRule="auto"/>
              <w:rPr>
                <w:sz w:val="22"/>
                <w:szCs w:val="22"/>
              </w:rPr>
            </w:pPr>
            <w:r w:rsidRPr="002D65ED">
              <w:rPr>
                <w:b/>
                <w:bCs/>
                <w:i/>
                <w:sz w:val="22"/>
                <w:szCs w:val="22"/>
              </w:rPr>
              <w:t>Vurdering</w:t>
            </w:r>
            <w:r w:rsidRPr="002D65ED">
              <w:rPr>
                <w:b/>
                <w:bCs/>
                <w:sz w:val="22"/>
                <w:szCs w:val="22"/>
              </w:rPr>
              <w:t>:</w:t>
            </w:r>
            <w:r w:rsidRPr="002D65ED">
              <w:rPr>
                <w:sz w:val="22"/>
                <w:szCs w:val="22"/>
              </w:rPr>
              <w:t xml:space="preserve"> Vi er betenkt dersom oppgradering av anbefalingen for </w:t>
            </w:r>
            <w:r w:rsidR="004F5D6A">
              <w:rPr>
                <w:sz w:val="22"/>
                <w:szCs w:val="22"/>
              </w:rPr>
              <w:t>a</w:t>
            </w:r>
            <w:r w:rsidRPr="002D65ED">
              <w:rPr>
                <w:sz w:val="22"/>
                <w:szCs w:val="22"/>
              </w:rPr>
              <w:t>miodaron medfører lavere terskel og økt bruk av dette medikamentet med tanke på bivirkningsprofilen. Flekainid er et medikament man skal ha respekt for, men vi ser av og til overdrevet frykt for å bruke dette preparatet, basert på CAST-studien som undersøkte en helt annen pasientpopulasjon og problemstilling (</w:t>
            </w:r>
            <w:r w:rsidR="00EE145B">
              <w:rPr>
                <w:sz w:val="22"/>
                <w:szCs w:val="22"/>
              </w:rPr>
              <w:t>ventrikulære ekstraslag</w:t>
            </w:r>
            <w:r w:rsidR="00EE145B" w:rsidRPr="002D65ED">
              <w:rPr>
                <w:sz w:val="22"/>
                <w:szCs w:val="22"/>
              </w:rPr>
              <w:t xml:space="preserve"> </w:t>
            </w:r>
            <w:r w:rsidRPr="002D65ED">
              <w:rPr>
                <w:sz w:val="22"/>
                <w:szCs w:val="22"/>
              </w:rPr>
              <w:t xml:space="preserve">hos postinfarkt-pasienter). </w:t>
            </w:r>
          </w:p>
          <w:p w14:paraId="71999557" w14:textId="77777777" w:rsidR="002D65ED" w:rsidRPr="002D65ED" w:rsidRDefault="002D65ED" w:rsidP="002D65ED">
            <w:pPr>
              <w:spacing w:after="200" w:line="276" w:lineRule="auto"/>
              <w:rPr>
                <w:i/>
                <w:iCs/>
                <w:sz w:val="22"/>
                <w:szCs w:val="22"/>
                <w:u w:val="single"/>
              </w:rPr>
            </w:pPr>
            <w:r w:rsidRPr="002D65ED">
              <w:rPr>
                <w:i/>
                <w:iCs/>
                <w:sz w:val="22"/>
                <w:szCs w:val="22"/>
                <w:u w:val="single"/>
              </w:rPr>
              <w:t>Kateterablasjon</w:t>
            </w:r>
          </w:p>
          <w:p w14:paraId="2C033141" w14:textId="77777777" w:rsidR="002D65ED" w:rsidRPr="002D65ED" w:rsidRDefault="002D65ED" w:rsidP="002D65ED">
            <w:pPr>
              <w:numPr>
                <w:ilvl w:val="0"/>
                <w:numId w:val="9"/>
              </w:numPr>
              <w:spacing w:after="200" w:line="276" w:lineRule="auto"/>
              <w:contextualSpacing/>
              <w:rPr>
                <w:sz w:val="22"/>
                <w:szCs w:val="22"/>
              </w:rPr>
            </w:pPr>
            <w:r w:rsidRPr="002D65ED">
              <w:rPr>
                <w:sz w:val="22"/>
                <w:szCs w:val="22"/>
              </w:rPr>
              <w:t xml:space="preserve">Ablasjon som andrelinje-behandling (ved utilstrekkelig effekt av medikamentell antiarytmisk behandling) har fått styrket anbefaling når det gjelder persisterende atrieflimmer. Nå vurderes disse pasientene på linje med </w:t>
            </w:r>
            <w:proofErr w:type="gramStart"/>
            <w:r w:rsidRPr="002D65ED">
              <w:rPr>
                <w:sz w:val="22"/>
                <w:szCs w:val="22"/>
              </w:rPr>
              <w:t>paroksysmal atrieflimmer</w:t>
            </w:r>
            <w:proofErr w:type="gramEnd"/>
            <w:r w:rsidRPr="002D65ED">
              <w:rPr>
                <w:sz w:val="22"/>
                <w:szCs w:val="22"/>
              </w:rPr>
              <w:t xml:space="preserve"> (I, A), mot tidligere IIa, B.</w:t>
            </w:r>
          </w:p>
          <w:p w14:paraId="11854DD4" w14:textId="45979BCB" w:rsidR="002D65ED" w:rsidRPr="002D65ED" w:rsidRDefault="002D65ED" w:rsidP="002D65ED">
            <w:pPr>
              <w:numPr>
                <w:ilvl w:val="0"/>
                <w:numId w:val="9"/>
              </w:numPr>
              <w:spacing w:after="200" w:line="276" w:lineRule="auto"/>
              <w:contextualSpacing/>
              <w:rPr>
                <w:sz w:val="22"/>
                <w:szCs w:val="22"/>
              </w:rPr>
            </w:pPr>
            <w:r w:rsidRPr="002D65ED">
              <w:rPr>
                <w:sz w:val="22"/>
                <w:szCs w:val="22"/>
              </w:rPr>
              <w:t xml:space="preserve">Istedenfor å skille persisterende atrieflimmer i varighet over eller under 12 </w:t>
            </w:r>
            <w:r w:rsidR="00EE145B">
              <w:rPr>
                <w:sz w:val="22"/>
                <w:szCs w:val="22"/>
              </w:rPr>
              <w:t>måneder</w:t>
            </w:r>
            <w:r w:rsidRPr="002D65ED">
              <w:rPr>
                <w:sz w:val="22"/>
                <w:szCs w:val="22"/>
              </w:rPr>
              <w:t xml:space="preserve"> (anfallsvis persisterende versus langtids persisterende) deler man nå inn i persisterende atrieflimmer med eller uten risikofaktorer for tilbakefall. Disse risikofaktorene omfatter betydelig forstørret venstre atrium, høy alder, langvarig atrieflimmer, nyresvikt eller annen kardiovaskulær sykdom. </w:t>
            </w:r>
          </w:p>
          <w:p w14:paraId="42076EDE" w14:textId="77777777" w:rsidR="002D65ED" w:rsidRPr="002D65ED" w:rsidRDefault="002D65ED" w:rsidP="002D65ED">
            <w:pPr>
              <w:numPr>
                <w:ilvl w:val="0"/>
                <w:numId w:val="9"/>
              </w:numPr>
              <w:spacing w:after="200" w:line="276" w:lineRule="auto"/>
              <w:contextualSpacing/>
              <w:rPr>
                <w:sz w:val="22"/>
                <w:szCs w:val="22"/>
              </w:rPr>
            </w:pPr>
            <w:r w:rsidRPr="002D65ED">
              <w:rPr>
                <w:sz w:val="22"/>
                <w:szCs w:val="22"/>
              </w:rPr>
              <w:t xml:space="preserve">Ablasjon som førstelinjebehandling (uten først å forsøke antiarytmisk medikasjon) får anbefaling IIa, B for paroksysmal (uendret) og IIb, C for persisterende atrieflimmer uten risikofaktorer (ny anbefaling), men anses ikke aktuell for persisterende atrieflimmer med risikofaktorer for tilbakefall. </w:t>
            </w:r>
          </w:p>
          <w:p w14:paraId="323524F9" w14:textId="1F5CCFF7" w:rsidR="002D65ED" w:rsidRPr="002D65ED" w:rsidRDefault="002D65ED" w:rsidP="002D65ED">
            <w:pPr>
              <w:numPr>
                <w:ilvl w:val="0"/>
                <w:numId w:val="9"/>
              </w:numPr>
              <w:spacing w:after="200" w:line="276" w:lineRule="auto"/>
              <w:contextualSpacing/>
              <w:rPr>
                <w:sz w:val="22"/>
                <w:szCs w:val="22"/>
              </w:rPr>
            </w:pPr>
            <w:r w:rsidRPr="002D65ED">
              <w:rPr>
                <w:sz w:val="22"/>
                <w:szCs w:val="22"/>
              </w:rPr>
              <w:t>Ablasjonsbehandling er oppgradert for utvalgte pasienter med hjertesvikt. Ved holdepunkt for takykardibetinget hjertesvikt har ablasjonsbehandling som førstelinje-tiltak fått en sterk anbefaling (I, B) for å reversere venstre ventrikkel-dysfunksjon. Basert på studier som Castle-AF og AMICA er det også en anbefaling om ablasjonsbehandling for utvalgte pasienter med hjertesvikt (HFrEF) med mål om bedret overlevelse og reduksjon av sykehusinnleggelser (IIa, B)</w:t>
            </w:r>
            <w:r w:rsidR="00132F60">
              <w:rPr>
                <w:sz w:val="22"/>
                <w:szCs w:val="22"/>
              </w:rPr>
              <w:t>.</w:t>
            </w:r>
          </w:p>
          <w:p w14:paraId="3BD834A2" w14:textId="77777777" w:rsidR="002D65ED" w:rsidRPr="002D65ED" w:rsidRDefault="002D65ED" w:rsidP="002D65ED">
            <w:pPr>
              <w:numPr>
                <w:ilvl w:val="0"/>
                <w:numId w:val="9"/>
              </w:numPr>
              <w:spacing w:after="200" w:line="276" w:lineRule="auto"/>
              <w:contextualSpacing/>
              <w:rPr>
                <w:sz w:val="22"/>
                <w:szCs w:val="22"/>
              </w:rPr>
            </w:pPr>
            <w:r w:rsidRPr="002D65ED">
              <w:rPr>
                <w:sz w:val="22"/>
                <w:szCs w:val="22"/>
              </w:rPr>
              <w:t xml:space="preserve">Samtidig ablasjon av cavotricuspidal isthmus og lungeveneisolasjon ved tidligere påvist atrieflutter er nedgradert fra IIa, B i 2016 til IIb, B i 2020. </w:t>
            </w:r>
          </w:p>
          <w:p w14:paraId="7067EBF6" w14:textId="77777777" w:rsidR="002D65ED" w:rsidRPr="002D65ED" w:rsidRDefault="002D65ED" w:rsidP="002D65ED">
            <w:pPr>
              <w:numPr>
                <w:ilvl w:val="0"/>
                <w:numId w:val="9"/>
              </w:numPr>
              <w:spacing w:after="200" w:line="276" w:lineRule="auto"/>
              <w:contextualSpacing/>
              <w:rPr>
                <w:sz w:val="22"/>
                <w:szCs w:val="22"/>
              </w:rPr>
            </w:pPr>
            <w:r w:rsidRPr="002D65ED">
              <w:rPr>
                <w:sz w:val="22"/>
                <w:szCs w:val="22"/>
              </w:rPr>
              <w:t>Ablasjon utover lungeveneisolasjon (eksempelvis linjer) kan vurderes, men har bare svak anbefaling (IIb, B).</w:t>
            </w:r>
          </w:p>
          <w:p w14:paraId="5DD436A6" w14:textId="77777777" w:rsidR="002D65ED" w:rsidRPr="002D65ED" w:rsidRDefault="002D65ED" w:rsidP="002D65ED">
            <w:pPr>
              <w:numPr>
                <w:ilvl w:val="0"/>
                <w:numId w:val="9"/>
              </w:numPr>
              <w:spacing w:after="200" w:line="276" w:lineRule="auto"/>
              <w:contextualSpacing/>
              <w:rPr>
                <w:sz w:val="22"/>
                <w:szCs w:val="22"/>
              </w:rPr>
            </w:pPr>
            <w:r w:rsidRPr="002D65ED">
              <w:rPr>
                <w:sz w:val="22"/>
                <w:szCs w:val="22"/>
              </w:rPr>
              <w:t>Ablasjon av atrieflimmer hos pasienter med medfødt hjertefeil kan vurderes i høyt spesialiserte sentra, men har bare en meget svak anbefaling (IIb, C).</w:t>
            </w:r>
          </w:p>
          <w:p w14:paraId="314168EE" w14:textId="46A2F36C" w:rsidR="002D65ED" w:rsidRPr="002D65ED" w:rsidRDefault="002D65ED" w:rsidP="002D65ED">
            <w:pPr>
              <w:spacing w:after="200" w:line="276" w:lineRule="auto"/>
              <w:rPr>
                <w:sz w:val="22"/>
                <w:szCs w:val="22"/>
              </w:rPr>
            </w:pPr>
            <w:r w:rsidRPr="002D65ED">
              <w:rPr>
                <w:b/>
                <w:bCs/>
                <w:i/>
                <w:iCs/>
                <w:sz w:val="22"/>
                <w:szCs w:val="22"/>
              </w:rPr>
              <w:t>Vurdering</w:t>
            </w:r>
            <w:r w:rsidRPr="002D65ED">
              <w:rPr>
                <w:sz w:val="22"/>
                <w:szCs w:val="22"/>
              </w:rPr>
              <w:t>: De nye anbefalingene avviker i liten grad fra de henvisningene vi allerede mottar til ablasjonsbehandling. Det kan være en utfordring å skille takykardimediert hjertesvikt fra pasienter med atrieflimmer sekundært til hjertesvikt av andre årsaker (eks: postinfarkt eller dilatert kardiomyopati). Dette kan ha stor betydning for sannsynligheten for å kunne reetablere stabil sinusrytme. Hos alle pasienter med persisterende atrieflimmer som henvises til ablasjonsbehandling, må man på forhånd vurdere sannsynligheten for å oppnå gunstig resultat av ablasjonsbehandlingen og veie det mot risiko for prosedyrerelaterte komplikasjoner.</w:t>
            </w:r>
          </w:p>
          <w:p w14:paraId="35633825" w14:textId="77777777" w:rsidR="002D65ED" w:rsidRPr="002D65ED" w:rsidRDefault="002D65ED" w:rsidP="002D65ED">
            <w:pPr>
              <w:spacing w:after="200" w:line="276" w:lineRule="auto"/>
              <w:rPr>
                <w:sz w:val="22"/>
                <w:szCs w:val="22"/>
              </w:rPr>
            </w:pPr>
            <w:r w:rsidRPr="002D65ED">
              <w:rPr>
                <w:i/>
                <w:iCs/>
                <w:sz w:val="22"/>
                <w:szCs w:val="22"/>
              </w:rPr>
              <w:lastRenderedPageBreak/>
              <w:t>Andre tilstander</w:t>
            </w:r>
          </w:p>
          <w:p w14:paraId="3A6DBA6F" w14:textId="3D2371B2" w:rsidR="002D65ED" w:rsidRPr="002D65ED" w:rsidRDefault="002D65ED" w:rsidP="002D65ED">
            <w:pPr>
              <w:spacing w:after="200" w:line="276" w:lineRule="auto"/>
              <w:rPr>
                <w:sz w:val="22"/>
                <w:szCs w:val="22"/>
              </w:rPr>
            </w:pPr>
            <w:r w:rsidRPr="002D65ED">
              <w:rPr>
                <w:sz w:val="22"/>
                <w:szCs w:val="22"/>
              </w:rPr>
              <w:t xml:space="preserve">De nye </w:t>
            </w:r>
            <w:r w:rsidR="001D62C9">
              <w:rPr>
                <w:sz w:val="22"/>
                <w:szCs w:val="22"/>
              </w:rPr>
              <w:t>retningslinjene</w:t>
            </w:r>
            <w:r w:rsidRPr="002D65ED">
              <w:rPr>
                <w:sz w:val="22"/>
                <w:szCs w:val="22"/>
              </w:rPr>
              <w:t xml:space="preserve"> inneholder også egne kapitler om atrieflimmer i forbindelse med koronarsykdom og PCI, hjerneslag, klaffefeil, kronisk nyresvikt, svangerskap og flere andre tilstander. Anbefalingene er stort sett godt koordinert på tvers av ulike </w:t>
            </w:r>
            <w:r w:rsidR="001D62C9">
              <w:rPr>
                <w:sz w:val="22"/>
                <w:szCs w:val="22"/>
              </w:rPr>
              <w:t>retningslinjer</w:t>
            </w:r>
            <w:r w:rsidRPr="002D65ED">
              <w:rPr>
                <w:sz w:val="22"/>
                <w:szCs w:val="22"/>
              </w:rPr>
              <w:t xml:space="preserve"> fra ESC. </w:t>
            </w:r>
          </w:p>
          <w:p w14:paraId="1B36464E" w14:textId="77777777" w:rsidR="002D65ED" w:rsidRPr="002D65ED" w:rsidRDefault="002D65ED" w:rsidP="002D65ED">
            <w:pPr>
              <w:spacing w:after="200" w:line="276" w:lineRule="auto"/>
              <w:rPr>
                <w:b/>
                <w:bCs/>
                <w:i/>
                <w:iCs/>
                <w:sz w:val="22"/>
                <w:szCs w:val="22"/>
              </w:rPr>
            </w:pPr>
            <w:r w:rsidRPr="002D65ED">
              <w:rPr>
                <w:b/>
                <w:bCs/>
                <w:i/>
                <w:iCs/>
                <w:sz w:val="22"/>
                <w:szCs w:val="22"/>
              </w:rPr>
              <w:t>Samlet anbefaling</w:t>
            </w:r>
          </w:p>
          <w:p w14:paraId="0C33D69C" w14:textId="62E0C2D7" w:rsidR="002D65ED" w:rsidRPr="002D65ED" w:rsidRDefault="002D65ED" w:rsidP="002D65ED">
            <w:pPr>
              <w:spacing w:after="200" w:line="276" w:lineRule="auto"/>
              <w:rPr>
                <w:sz w:val="22"/>
                <w:szCs w:val="22"/>
              </w:rPr>
            </w:pPr>
            <w:r w:rsidRPr="002D65ED">
              <w:rPr>
                <w:sz w:val="22"/>
                <w:szCs w:val="22"/>
              </w:rPr>
              <w:t>Vi anbefaler leserne å benytte den store kunnskapskilden ESC har samlet i forbindelse med atrieflimmer</w:t>
            </w:r>
            <w:r w:rsidR="001D62C9">
              <w:rPr>
                <w:sz w:val="22"/>
                <w:szCs w:val="22"/>
              </w:rPr>
              <w:t xml:space="preserve">- retningslinjene </w:t>
            </w:r>
            <w:r w:rsidRPr="002D65ED">
              <w:rPr>
                <w:sz w:val="22"/>
                <w:szCs w:val="22"/>
              </w:rPr>
              <w:t xml:space="preserve">2020, og vi mener Norsk Cardiologisk Selskap kan gi sin tilslutning til disse.  </w:t>
            </w:r>
          </w:p>
          <w:p w14:paraId="7FB7288F" w14:textId="77777777" w:rsidR="008D3049" w:rsidRPr="002D65ED" w:rsidRDefault="008D3049" w:rsidP="002D65ED"/>
        </w:tc>
      </w:tr>
      <w:tr w:rsidR="00786B55" w14:paraId="7B2EE4FC" w14:textId="77777777">
        <w:tc>
          <w:tcPr>
            <w:tcW w:w="9212" w:type="dxa"/>
          </w:tcPr>
          <w:p w14:paraId="68A11A89" w14:textId="77777777" w:rsidR="00786B55" w:rsidRDefault="00786B55"/>
          <w:p w14:paraId="0783EC1D" w14:textId="7268BE77" w:rsidR="00786B55" w:rsidRDefault="00786B55">
            <w:pPr>
              <w:rPr>
                <w:b/>
                <w:bCs/>
              </w:rPr>
            </w:pPr>
            <w:r>
              <w:rPr>
                <w:b/>
                <w:bCs/>
              </w:rPr>
              <w:t>Kvalitets</w:t>
            </w:r>
            <w:r w:rsidR="002C1DD3">
              <w:rPr>
                <w:b/>
                <w:bCs/>
              </w:rPr>
              <w:t>utvalgets vurdering</w:t>
            </w:r>
            <w:r w:rsidR="00D03A4D">
              <w:rPr>
                <w:b/>
                <w:bCs/>
              </w:rPr>
              <w:t xml:space="preserve">, møtedato </w:t>
            </w:r>
            <w:r w:rsidR="00EF4067" w:rsidRPr="00EF4067">
              <w:rPr>
                <w:b/>
                <w:bCs/>
              </w:rPr>
              <w:t>27</w:t>
            </w:r>
            <w:r w:rsidR="00D03A4D" w:rsidRPr="00EF4067">
              <w:rPr>
                <w:b/>
                <w:bCs/>
              </w:rPr>
              <w:t>.</w:t>
            </w:r>
            <w:r w:rsidR="00EF4067" w:rsidRPr="00EF4067">
              <w:rPr>
                <w:b/>
                <w:bCs/>
              </w:rPr>
              <w:t>1</w:t>
            </w:r>
            <w:r w:rsidR="00D03A4D" w:rsidRPr="00EF4067">
              <w:rPr>
                <w:b/>
                <w:bCs/>
              </w:rPr>
              <w:t>.20</w:t>
            </w:r>
            <w:r w:rsidR="008F6E7B" w:rsidRPr="00EF4067">
              <w:rPr>
                <w:b/>
                <w:bCs/>
              </w:rPr>
              <w:t>21</w:t>
            </w:r>
          </w:p>
          <w:p w14:paraId="0C74E2D6" w14:textId="253E939F" w:rsidR="00786B55" w:rsidRDefault="000C0A13" w:rsidP="00C33667">
            <w:r>
              <w:t xml:space="preserve">Hovedpunktene i de nye </w:t>
            </w:r>
            <w:r w:rsidR="001D62C9">
              <w:t>retningslinjene</w:t>
            </w:r>
            <w:r w:rsidR="007766EC">
              <w:t xml:space="preserve"> for </w:t>
            </w:r>
            <w:r w:rsidR="00681A2F">
              <w:t>diagnose og behandling av atrieflimmer</w:t>
            </w:r>
            <w:r>
              <w:t xml:space="preserve"> er godt oppsummert av fagekspertene ovenfor. </w:t>
            </w:r>
            <w:r w:rsidR="00C33667">
              <w:t>De viktigste punktene er omtalt av våre eksperter med nødvendige kommentarer og anbefalinger. I samsvar med ekspertenes konklusjon vil kvalitetsutvalget anbefale at</w:t>
            </w:r>
            <w:r w:rsidR="008071F8" w:rsidRPr="008071F8">
              <w:t xml:space="preserve"> NCS gir sin tilslutning til de oppdaterte retningslinjene</w:t>
            </w:r>
            <w:r w:rsidR="00D03A4D">
              <w:t>.</w:t>
            </w:r>
          </w:p>
        </w:tc>
      </w:tr>
      <w:tr w:rsidR="00786B55" w14:paraId="494AABA1" w14:textId="77777777">
        <w:tc>
          <w:tcPr>
            <w:tcW w:w="9212" w:type="dxa"/>
          </w:tcPr>
          <w:p w14:paraId="51138F0F" w14:textId="77777777" w:rsidR="00786B55" w:rsidRDefault="00786B55"/>
          <w:p w14:paraId="7664017F" w14:textId="77777777" w:rsidR="00786B55" w:rsidRDefault="00786B55">
            <w:r>
              <w:t>Kvalitetsutvalget presiserer:</w:t>
            </w:r>
          </w:p>
          <w:p w14:paraId="759A572D" w14:textId="77777777" w:rsidR="00786B55" w:rsidRDefault="00786B55">
            <w:pPr>
              <w:pStyle w:val="Overskrift1"/>
            </w:pPr>
            <w:r>
              <w:t>Retningslinjer er råd, ikke regler</w:t>
            </w:r>
          </w:p>
          <w:p w14:paraId="3D0F44DF" w14:textId="77777777" w:rsidR="00786B55" w:rsidRDefault="00786B55"/>
          <w:p w14:paraId="0DD1EBAB" w14:textId="77777777" w:rsidR="00786B55" w:rsidRDefault="00786B55">
            <w:r>
              <w:t>Disse retningslinjer er ment som en støtte for legers kliniske beslutninger angående utredning og behandling. De beskriver flere mulige fremgangsmåter, som vil være passende for de fleste pasienter under de fleste omstendigheter. Bedømmelse og behandling av den enkelte pasient må gjøres av legen og pasienten i lys av den aktuelle pasients spesielle situasjon. Det vil dermed finnes situasjoner der det er akseptabelt å fravike retningslinjene.</w:t>
            </w:r>
          </w:p>
        </w:tc>
      </w:tr>
      <w:tr w:rsidR="00786B55" w14:paraId="4D8C1DBB" w14:textId="77777777">
        <w:tc>
          <w:tcPr>
            <w:tcW w:w="9212" w:type="dxa"/>
          </w:tcPr>
          <w:p w14:paraId="50A71548" w14:textId="77777777" w:rsidR="00786B55" w:rsidRDefault="00786B55"/>
          <w:p w14:paraId="34E8442C" w14:textId="56065D7F" w:rsidR="00786B55" w:rsidRDefault="00786B55" w:rsidP="00A50B8A">
            <w:r>
              <w:t>NCS har i styremøte</w:t>
            </w:r>
            <w:r w:rsidR="00E0771F">
              <w:t xml:space="preserve"> 9.2.2021</w:t>
            </w:r>
            <w:r w:rsidR="00A50B8A">
              <w:t xml:space="preserve"> </w:t>
            </w:r>
            <w:r>
              <w:t>gitt tilslutning til disse retningslinjer,</w:t>
            </w:r>
            <w:r>
              <w:br/>
              <w:t>med ovennevnte reservasjon.</w:t>
            </w:r>
          </w:p>
        </w:tc>
      </w:tr>
    </w:tbl>
    <w:p w14:paraId="135D6F4B" w14:textId="77777777" w:rsidR="00786B55" w:rsidRDefault="00786B55"/>
    <w:p w14:paraId="02835A5B" w14:textId="77777777" w:rsidR="00786B55" w:rsidRPr="00110E05" w:rsidRDefault="00EA701A">
      <w:pPr>
        <w:jc w:val="center"/>
        <w:rPr>
          <w:sz w:val="22"/>
          <w:szCs w:val="22"/>
        </w:rPr>
      </w:pPr>
      <w:r w:rsidRPr="00110E05">
        <w:rPr>
          <w:sz w:val="22"/>
          <w:szCs w:val="22"/>
        </w:rPr>
        <w:t>Kvalitetsutvalget i NCS</w:t>
      </w:r>
    </w:p>
    <w:p w14:paraId="042DFAD4" w14:textId="77777777" w:rsidR="00786B55" w:rsidRPr="00110E05" w:rsidRDefault="00786B55">
      <w:pPr>
        <w:rPr>
          <w:sz w:val="22"/>
          <w:szCs w:val="22"/>
        </w:rPr>
      </w:pPr>
    </w:p>
    <w:p w14:paraId="72FC391C" w14:textId="77777777" w:rsidR="00786B55" w:rsidRPr="00110E05" w:rsidRDefault="00786B55">
      <w:pPr>
        <w:rPr>
          <w:sz w:val="22"/>
          <w:szCs w:val="22"/>
        </w:rPr>
      </w:pPr>
    </w:p>
    <w:p w14:paraId="5127CA71" w14:textId="77777777" w:rsidR="00786B55" w:rsidRPr="00110E05" w:rsidRDefault="00786B55">
      <w:pPr>
        <w:rPr>
          <w:sz w:val="22"/>
          <w:szCs w:val="22"/>
        </w:rPr>
      </w:pPr>
    </w:p>
    <w:p w14:paraId="7E8E3587" w14:textId="77777777" w:rsidR="00786B55" w:rsidRPr="00110E05" w:rsidRDefault="00786B55">
      <w:pPr>
        <w:rPr>
          <w:sz w:val="22"/>
          <w:szCs w:val="22"/>
        </w:rPr>
      </w:pPr>
    </w:p>
    <w:tbl>
      <w:tblPr>
        <w:tblW w:w="0" w:type="auto"/>
        <w:tblCellMar>
          <w:left w:w="70" w:type="dxa"/>
          <w:right w:w="70" w:type="dxa"/>
        </w:tblCellMar>
        <w:tblLook w:val="0000" w:firstRow="0" w:lastRow="0" w:firstColumn="0" w:lastColumn="0" w:noHBand="0" w:noVBand="0"/>
      </w:tblPr>
      <w:tblGrid>
        <w:gridCol w:w="3026"/>
        <w:gridCol w:w="3024"/>
        <w:gridCol w:w="3022"/>
      </w:tblGrid>
      <w:tr w:rsidR="00786B55" w:rsidRPr="00110E05" w14:paraId="59C14865" w14:textId="77777777">
        <w:tc>
          <w:tcPr>
            <w:tcW w:w="3070" w:type="dxa"/>
          </w:tcPr>
          <w:p w14:paraId="526FE99D" w14:textId="77777777" w:rsidR="008F6E7B" w:rsidRPr="00110E05" w:rsidRDefault="008F6E7B" w:rsidP="008F6E7B">
            <w:pPr>
              <w:jc w:val="center"/>
              <w:rPr>
                <w:sz w:val="22"/>
                <w:szCs w:val="22"/>
                <w:lang w:val="nn-NO"/>
              </w:rPr>
            </w:pPr>
            <w:r w:rsidRPr="00110E05">
              <w:rPr>
                <w:sz w:val="22"/>
                <w:szCs w:val="22"/>
                <w:lang w:val="nn-NO"/>
              </w:rPr>
              <w:t>Vernon Bonarjee</w:t>
            </w:r>
          </w:p>
          <w:p w14:paraId="48494A5D" w14:textId="77777777" w:rsidR="00786B55" w:rsidRPr="00110E05" w:rsidRDefault="002E00F4">
            <w:pPr>
              <w:jc w:val="center"/>
              <w:rPr>
                <w:sz w:val="22"/>
                <w:szCs w:val="22"/>
                <w:lang w:val="nn-NO"/>
              </w:rPr>
            </w:pPr>
            <w:r w:rsidRPr="00110E05">
              <w:rPr>
                <w:sz w:val="22"/>
                <w:szCs w:val="22"/>
                <w:lang w:val="nn-NO"/>
              </w:rPr>
              <w:t>l</w:t>
            </w:r>
            <w:r w:rsidR="00786B55" w:rsidRPr="00110E05">
              <w:rPr>
                <w:sz w:val="22"/>
                <w:szCs w:val="22"/>
                <w:lang w:val="nn-NO"/>
              </w:rPr>
              <w:t>eder</w:t>
            </w:r>
          </w:p>
          <w:p w14:paraId="3EB6AED9" w14:textId="77777777" w:rsidR="002E00F4" w:rsidRPr="00110E05" w:rsidRDefault="002E00F4">
            <w:pPr>
              <w:jc w:val="center"/>
              <w:rPr>
                <w:sz w:val="22"/>
                <w:szCs w:val="22"/>
                <w:lang w:val="nn-NO"/>
              </w:rPr>
            </w:pPr>
            <w:r w:rsidRPr="00110E05">
              <w:rPr>
                <w:sz w:val="22"/>
                <w:szCs w:val="22"/>
                <w:lang w:val="nn-NO"/>
              </w:rPr>
              <w:t>(sign.)</w:t>
            </w:r>
          </w:p>
          <w:p w14:paraId="015E853D" w14:textId="77777777" w:rsidR="00786B55" w:rsidRPr="00110E05" w:rsidRDefault="00786B55" w:rsidP="000A049B">
            <w:pPr>
              <w:jc w:val="center"/>
              <w:rPr>
                <w:sz w:val="22"/>
                <w:szCs w:val="22"/>
                <w:lang w:val="nn-NO"/>
              </w:rPr>
            </w:pPr>
          </w:p>
        </w:tc>
        <w:tc>
          <w:tcPr>
            <w:tcW w:w="3071" w:type="dxa"/>
          </w:tcPr>
          <w:p w14:paraId="222A36CD" w14:textId="77777777" w:rsidR="00786B55" w:rsidRPr="00110E05" w:rsidRDefault="00D52DC6">
            <w:pPr>
              <w:jc w:val="center"/>
              <w:rPr>
                <w:sz w:val="22"/>
                <w:szCs w:val="22"/>
              </w:rPr>
            </w:pPr>
            <w:r w:rsidRPr="00110E05">
              <w:rPr>
                <w:sz w:val="22"/>
                <w:szCs w:val="22"/>
              </w:rPr>
              <w:t>Assami Rö</w:t>
            </w:r>
            <w:r w:rsidR="002C05D8" w:rsidRPr="00110E05">
              <w:rPr>
                <w:sz w:val="22"/>
                <w:szCs w:val="22"/>
              </w:rPr>
              <w:t>sner</w:t>
            </w:r>
          </w:p>
          <w:p w14:paraId="48850E72" w14:textId="77777777" w:rsidR="00786B55" w:rsidRPr="00110E05" w:rsidRDefault="00786B55">
            <w:pPr>
              <w:jc w:val="center"/>
              <w:rPr>
                <w:sz w:val="22"/>
                <w:szCs w:val="22"/>
              </w:rPr>
            </w:pPr>
          </w:p>
          <w:p w14:paraId="338804B1" w14:textId="77777777" w:rsidR="00786B55" w:rsidRPr="00110E05" w:rsidRDefault="002E00F4" w:rsidP="002322AD">
            <w:pPr>
              <w:jc w:val="center"/>
              <w:rPr>
                <w:sz w:val="22"/>
                <w:szCs w:val="22"/>
              </w:rPr>
            </w:pPr>
            <w:r w:rsidRPr="00110E05">
              <w:rPr>
                <w:sz w:val="22"/>
                <w:szCs w:val="22"/>
              </w:rPr>
              <w:t>(sign.)</w:t>
            </w:r>
          </w:p>
        </w:tc>
        <w:tc>
          <w:tcPr>
            <w:tcW w:w="3071" w:type="dxa"/>
          </w:tcPr>
          <w:p w14:paraId="2CEF1FCC" w14:textId="1459F009" w:rsidR="00786B55" w:rsidRPr="00110E05" w:rsidRDefault="008F6E7B">
            <w:pPr>
              <w:jc w:val="center"/>
              <w:rPr>
                <w:sz w:val="22"/>
                <w:szCs w:val="22"/>
              </w:rPr>
            </w:pPr>
            <w:r w:rsidRPr="00110E05">
              <w:rPr>
                <w:sz w:val="22"/>
                <w:szCs w:val="22"/>
              </w:rPr>
              <w:t>Trine S. Fink</w:t>
            </w:r>
          </w:p>
          <w:p w14:paraId="1122EA89" w14:textId="77777777" w:rsidR="008F6E7B" w:rsidRPr="00110E05" w:rsidRDefault="008F6E7B" w:rsidP="002E00F4">
            <w:pPr>
              <w:jc w:val="center"/>
              <w:rPr>
                <w:sz w:val="22"/>
                <w:szCs w:val="22"/>
              </w:rPr>
            </w:pPr>
          </w:p>
          <w:p w14:paraId="6CA38F67" w14:textId="2A621DEE" w:rsidR="00786B55" w:rsidRPr="00110E05" w:rsidRDefault="002E00F4" w:rsidP="002E00F4">
            <w:pPr>
              <w:jc w:val="center"/>
              <w:rPr>
                <w:sz w:val="22"/>
                <w:szCs w:val="22"/>
              </w:rPr>
            </w:pPr>
            <w:r w:rsidRPr="00110E05">
              <w:rPr>
                <w:sz w:val="22"/>
                <w:szCs w:val="22"/>
              </w:rPr>
              <w:t>(sign.)</w:t>
            </w:r>
          </w:p>
        </w:tc>
      </w:tr>
    </w:tbl>
    <w:p w14:paraId="67032CC5" w14:textId="77777777" w:rsidR="00786B55" w:rsidRDefault="00786B55" w:rsidP="002E00F4"/>
    <w:sectPr w:rsidR="0078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0C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80215"/>
    <w:multiLevelType w:val="hybridMultilevel"/>
    <w:tmpl w:val="19F64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1B1043"/>
    <w:multiLevelType w:val="hybridMultilevel"/>
    <w:tmpl w:val="2CBA2E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1D814E1"/>
    <w:multiLevelType w:val="hybridMultilevel"/>
    <w:tmpl w:val="4704B2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EE45F3"/>
    <w:multiLevelType w:val="hybridMultilevel"/>
    <w:tmpl w:val="15D03EB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9F23E0C"/>
    <w:multiLevelType w:val="hybridMultilevel"/>
    <w:tmpl w:val="110E8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A9757F"/>
    <w:multiLevelType w:val="hybridMultilevel"/>
    <w:tmpl w:val="965263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5E24BC"/>
    <w:multiLevelType w:val="hybridMultilevel"/>
    <w:tmpl w:val="15000D38"/>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8" w15:restartNumberingAfterBreak="0">
    <w:nsid w:val="6C3C19E0"/>
    <w:multiLevelType w:val="hybridMultilevel"/>
    <w:tmpl w:val="AF700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C8"/>
    <w:rsid w:val="00006C5A"/>
    <w:rsid w:val="00015EEF"/>
    <w:rsid w:val="000229BA"/>
    <w:rsid w:val="00024CA6"/>
    <w:rsid w:val="00030258"/>
    <w:rsid w:val="0003077C"/>
    <w:rsid w:val="00032664"/>
    <w:rsid w:val="000361C2"/>
    <w:rsid w:val="00070DD1"/>
    <w:rsid w:val="000825D7"/>
    <w:rsid w:val="0009046B"/>
    <w:rsid w:val="000A049B"/>
    <w:rsid w:val="000A1006"/>
    <w:rsid w:val="000B4BAC"/>
    <w:rsid w:val="000C0A13"/>
    <w:rsid w:val="000C5C52"/>
    <w:rsid w:val="000C66B2"/>
    <w:rsid w:val="000E6DEC"/>
    <w:rsid w:val="000E72F0"/>
    <w:rsid w:val="00110E05"/>
    <w:rsid w:val="00112CC0"/>
    <w:rsid w:val="00113A4E"/>
    <w:rsid w:val="0011656E"/>
    <w:rsid w:val="001166F7"/>
    <w:rsid w:val="00121F01"/>
    <w:rsid w:val="00132F60"/>
    <w:rsid w:val="001331E8"/>
    <w:rsid w:val="00136FAE"/>
    <w:rsid w:val="001504B8"/>
    <w:rsid w:val="00161F61"/>
    <w:rsid w:val="00163BCE"/>
    <w:rsid w:val="00174CDE"/>
    <w:rsid w:val="00176AF3"/>
    <w:rsid w:val="00180CC0"/>
    <w:rsid w:val="00181D66"/>
    <w:rsid w:val="0018495B"/>
    <w:rsid w:val="001928CD"/>
    <w:rsid w:val="001B5B0F"/>
    <w:rsid w:val="001B5B6A"/>
    <w:rsid w:val="001C3F69"/>
    <w:rsid w:val="001C5D07"/>
    <w:rsid w:val="001C74DA"/>
    <w:rsid w:val="001D62C9"/>
    <w:rsid w:val="001D753E"/>
    <w:rsid w:val="001E1571"/>
    <w:rsid w:val="001E68E1"/>
    <w:rsid w:val="001E6A21"/>
    <w:rsid w:val="001F764C"/>
    <w:rsid w:val="002072D6"/>
    <w:rsid w:val="002073D1"/>
    <w:rsid w:val="00210803"/>
    <w:rsid w:val="0022312D"/>
    <w:rsid w:val="00224AF0"/>
    <w:rsid w:val="00225534"/>
    <w:rsid w:val="002322AD"/>
    <w:rsid w:val="0024205A"/>
    <w:rsid w:val="00244149"/>
    <w:rsid w:val="00251336"/>
    <w:rsid w:val="002565E0"/>
    <w:rsid w:val="002570A2"/>
    <w:rsid w:val="00265415"/>
    <w:rsid w:val="002733C8"/>
    <w:rsid w:val="002813AD"/>
    <w:rsid w:val="002855B6"/>
    <w:rsid w:val="00291449"/>
    <w:rsid w:val="002920E0"/>
    <w:rsid w:val="002B0A5A"/>
    <w:rsid w:val="002B2927"/>
    <w:rsid w:val="002B7CDE"/>
    <w:rsid w:val="002C05D8"/>
    <w:rsid w:val="002C1DD3"/>
    <w:rsid w:val="002C46A7"/>
    <w:rsid w:val="002C5E4B"/>
    <w:rsid w:val="002D65ED"/>
    <w:rsid w:val="002E00F4"/>
    <w:rsid w:val="002E0A62"/>
    <w:rsid w:val="00302BD4"/>
    <w:rsid w:val="003120E7"/>
    <w:rsid w:val="003164CB"/>
    <w:rsid w:val="00320586"/>
    <w:rsid w:val="00324E2E"/>
    <w:rsid w:val="0032672F"/>
    <w:rsid w:val="00344232"/>
    <w:rsid w:val="00344E00"/>
    <w:rsid w:val="00345FC8"/>
    <w:rsid w:val="003472E7"/>
    <w:rsid w:val="00355CFB"/>
    <w:rsid w:val="003771DE"/>
    <w:rsid w:val="003876A3"/>
    <w:rsid w:val="003904A6"/>
    <w:rsid w:val="00397EE9"/>
    <w:rsid w:val="003A3981"/>
    <w:rsid w:val="003D2E92"/>
    <w:rsid w:val="003F2083"/>
    <w:rsid w:val="003F604B"/>
    <w:rsid w:val="004055B5"/>
    <w:rsid w:val="00412853"/>
    <w:rsid w:val="00423D1A"/>
    <w:rsid w:val="00425A71"/>
    <w:rsid w:val="004279D8"/>
    <w:rsid w:val="00436FE0"/>
    <w:rsid w:val="00444439"/>
    <w:rsid w:val="0046034E"/>
    <w:rsid w:val="00467F0F"/>
    <w:rsid w:val="00473F64"/>
    <w:rsid w:val="004809F5"/>
    <w:rsid w:val="00480A46"/>
    <w:rsid w:val="00491160"/>
    <w:rsid w:val="004A7AC8"/>
    <w:rsid w:val="004C01A9"/>
    <w:rsid w:val="004C025C"/>
    <w:rsid w:val="004C5FAF"/>
    <w:rsid w:val="004C6D07"/>
    <w:rsid w:val="004D1A8C"/>
    <w:rsid w:val="004D7016"/>
    <w:rsid w:val="004E076B"/>
    <w:rsid w:val="004F5D6A"/>
    <w:rsid w:val="004F7449"/>
    <w:rsid w:val="0050317D"/>
    <w:rsid w:val="005037A1"/>
    <w:rsid w:val="00504D92"/>
    <w:rsid w:val="00511C7B"/>
    <w:rsid w:val="00517DB5"/>
    <w:rsid w:val="005223EE"/>
    <w:rsid w:val="00532B61"/>
    <w:rsid w:val="00535D15"/>
    <w:rsid w:val="00547B63"/>
    <w:rsid w:val="00551C43"/>
    <w:rsid w:val="00554974"/>
    <w:rsid w:val="00562AA8"/>
    <w:rsid w:val="00566A81"/>
    <w:rsid w:val="00570605"/>
    <w:rsid w:val="00571E2B"/>
    <w:rsid w:val="00574BC4"/>
    <w:rsid w:val="005776FF"/>
    <w:rsid w:val="005814E0"/>
    <w:rsid w:val="00582DF5"/>
    <w:rsid w:val="005A348A"/>
    <w:rsid w:val="005C39D2"/>
    <w:rsid w:val="005C7549"/>
    <w:rsid w:val="0062782A"/>
    <w:rsid w:val="006318CD"/>
    <w:rsid w:val="00633830"/>
    <w:rsid w:val="00650CFE"/>
    <w:rsid w:val="006554F0"/>
    <w:rsid w:val="00662959"/>
    <w:rsid w:val="00677221"/>
    <w:rsid w:val="00681A2F"/>
    <w:rsid w:val="006A6ECD"/>
    <w:rsid w:val="006A7DC8"/>
    <w:rsid w:val="006B3C31"/>
    <w:rsid w:val="006C30C1"/>
    <w:rsid w:val="006C34B3"/>
    <w:rsid w:val="006C3801"/>
    <w:rsid w:val="006E029F"/>
    <w:rsid w:val="006E1C20"/>
    <w:rsid w:val="006F34B3"/>
    <w:rsid w:val="007055C9"/>
    <w:rsid w:val="00712CE8"/>
    <w:rsid w:val="007309ED"/>
    <w:rsid w:val="007331DF"/>
    <w:rsid w:val="007364E4"/>
    <w:rsid w:val="00747D1A"/>
    <w:rsid w:val="0075753D"/>
    <w:rsid w:val="00773941"/>
    <w:rsid w:val="007766EC"/>
    <w:rsid w:val="00786B55"/>
    <w:rsid w:val="0079112B"/>
    <w:rsid w:val="00794CDC"/>
    <w:rsid w:val="0079537A"/>
    <w:rsid w:val="007971C5"/>
    <w:rsid w:val="007B177D"/>
    <w:rsid w:val="007B34CE"/>
    <w:rsid w:val="007D1D6C"/>
    <w:rsid w:val="007D4386"/>
    <w:rsid w:val="007D58FA"/>
    <w:rsid w:val="007D7965"/>
    <w:rsid w:val="007E4570"/>
    <w:rsid w:val="007F207C"/>
    <w:rsid w:val="007F6DA8"/>
    <w:rsid w:val="008071F8"/>
    <w:rsid w:val="0081023F"/>
    <w:rsid w:val="008104CE"/>
    <w:rsid w:val="008152FF"/>
    <w:rsid w:val="008230DF"/>
    <w:rsid w:val="00830311"/>
    <w:rsid w:val="008352CF"/>
    <w:rsid w:val="008366B5"/>
    <w:rsid w:val="00850EFD"/>
    <w:rsid w:val="00855B79"/>
    <w:rsid w:val="0085600B"/>
    <w:rsid w:val="00862526"/>
    <w:rsid w:val="00872531"/>
    <w:rsid w:val="00873669"/>
    <w:rsid w:val="008763C2"/>
    <w:rsid w:val="0088220E"/>
    <w:rsid w:val="00892AEF"/>
    <w:rsid w:val="008A3B9F"/>
    <w:rsid w:val="008B5F2B"/>
    <w:rsid w:val="008C7652"/>
    <w:rsid w:val="008D3049"/>
    <w:rsid w:val="008E4C6C"/>
    <w:rsid w:val="008F0EE2"/>
    <w:rsid w:val="008F5229"/>
    <w:rsid w:val="008F6E7B"/>
    <w:rsid w:val="00902299"/>
    <w:rsid w:val="009114D9"/>
    <w:rsid w:val="0091509D"/>
    <w:rsid w:val="009208AF"/>
    <w:rsid w:val="00922E63"/>
    <w:rsid w:val="00934DDE"/>
    <w:rsid w:val="00940DDE"/>
    <w:rsid w:val="009567B6"/>
    <w:rsid w:val="009605B8"/>
    <w:rsid w:val="0098228A"/>
    <w:rsid w:val="009828D5"/>
    <w:rsid w:val="00982F55"/>
    <w:rsid w:val="009856C7"/>
    <w:rsid w:val="00987450"/>
    <w:rsid w:val="009A02EB"/>
    <w:rsid w:val="009A3206"/>
    <w:rsid w:val="009B3AC6"/>
    <w:rsid w:val="009C01FB"/>
    <w:rsid w:val="009D5669"/>
    <w:rsid w:val="009D7987"/>
    <w:rsid w:val="009D79C1"/>
    <w:rsid w:val="009E6362"/>
    <w:rsid w:val="009E64CE"/>
    <w:rsid w:val="009F11BC"/>
    <w:rsid w:val="00A0280C"/>
    <w:rsid w:val="00A16F16"/>
    <w:rsid w:val="00A32144"/>
    <w:rsid w:val="00A32690"/>
    <w:rsid w:val="00A3669F"/>
    <w:rsid w:val="00A50B8A"/>
    <w:rsid w:val="00A57D07"/>
    <w:rsid w:val="00A60070"/>
    <w:rsid w:val="00A64A21"/>
    <w:rsid w:val="00A6517C"/>
    <w:rsid w:val="00A73E32"/>
    <w:rsid w:val="00A83738"/>
    <w:rsid w:val="00A91F00"/>
    <w:rsid w:val="00A93F84"/>
    <w:rsid w:val="00AA1808"/>
    <w:rsid w:val="00AA5781"/>
    <w:rsid w:val="00AC5539"/>
    <w:rsid w:val="00AD3400"/>
    <w:rsid w:val="00AD5620"/>
    <w:rsid w:val="00AD7FB9"/>
    <w:rsid w:val="00AE021D"/>
    <w:rsid w:val="00AE64F5"/>
    <w:rsid w:val="00AE779F"/>
    <w:rsid w:val="00AE7D10"/>
    <w:rsid w:val="00AF3A79"/>
    <w:rsid w:val="00B00268"/>
    <w:rsid w:val="00B05915"/>
    <w:rsid w:val="00B22970"/>
    <w:rsid w:val="00B32849"/>
    <w:rsid w:val="00B402E4"/>
    <w:rsid w:val="00B4721C"/>
    <w:rsid w:val="00B4738C"/>
    <w:rsid w:val="00B4745C"/>
    <w:rsid w:val="00B5062F"/>
    <w:rsid w:val="00B52E95"/>
    <w:rsid w:val="00B67D65"/>
    <w:rsid w:val="00B7029A"/>
    <w:rsid w:val="00B7665F"/>
    <w:rsid w:val="00B76839"/>
    <w:rsid w:val="00B84E0B"/>
    <w:rsid w:val="00B9262E"/>
    <w:rsid w:val="00B966A6"/>
    <w:rsid w:val="00B97648"/>
    <w:rsid w:val="00BA18A5"/>
    <w:rsid w:val="00BA3651"/>
    <w:rsid w:val="00BB0D03"/>
    <w:rsid w:val="00BB475E"/>
    <w:rsid w:val="00BC1282"/>
    <w:rsid w:val="00BD330F"/>
    <w:rsid w:val="00BE09CE"/>
    <w:rsid w:val="00BE67B3"/>
    <w:rsid w:val="00BF438A"/>
    <w:rsid w:val="00C118BE"/>
    <w:rsid w:val="00C175A6"/>
    <w:rsid w:val="00C21373"/>
    <w:rsid w:val="00C33667"/>
    <w:rsid w:val="00C43BD7"/>
    <w:rsid w:val="00C70ED0"/>
    <w:rsid w:val="00C751ED"/>
    <w:rsid w:val="00C85EF6"/>
    <w:rsid w:val="00C947EF"/>
    <w:rsid w:val="00CA6D42"/>
    <w:rsid w:val="00CA711E"/>
    <w:rsid w:val="00CA7333"/>
    <w:rsid w:val="00CC2990"/>
    <w:rsid w:val="00CD7129"/>
    <w:rsid w:val="00CD74E3"/>
    <w:rsid w:val="00CE2BB8"/>
    <w:rsid w:val="00CE48A5"/>
    <w:rsid w:val="00CE630E"/>
    <w:rsid w:val="00CF0E57"/>
    <w:rsid w:val="00D026B8"/>
    <w:rsid w:val="00D03A4D"/>
    <w:rsid w:val="00D04D68"/>
    <w:rsid w:val="00D14EAA"/>
    <w:rsid w:val="00D1558A"/>
    <w:rsid w:val="00D23FFA"/>
    <w:rsid w:val="00D26AE0"/>
    <w:rsid w:val="00D52DC6"/>
    <w:rsid w:val="00D56214"/>
    <w:rsid w:val="00D6486B"/>
    <w:rsid w:val="00D74C84"/>
    <w:rsid w:val="00D87915"/>
    <w:rsid w:val="00D87F02"/>
    <w:rsid w:val="00D90752"/>
    <w:rsid w:val="00DD00EF"/>
    <w:rsid w:val="00DE3345"/>
    <w:rsid w:val="00DE36FA"/>
    <w:rsid w:val="00DE3DE2"/>
    <w:rsid w:val="00DF3ED6"/>
    <w:rsid w:val="00E0419C"/>
    <w:rsid w:val="00E076DB"/>
    <w:rsid w:val="00E0771F"/>
    <w:rsid w:val="00E11E46"/>
    <w:rsid w:val="00E157AB"/>
    <w:rsid w:val="00E20588"/>
    <w:rsid w:val="00E21095"/>
    <w:rsid w:val="00E25861"/>
    <w:rsid w:val="00E26194"/>
    <w:rsid w:val="00E31534"/>
    <w:rsid w:val="00E41C5A"/>
    <w:rsid w:val="00E435A9"/>
    <w:rsid w:val="00E43A32"/>
    <w:rsid w:val="00E46D18"/>
    <w:rsid w:val="00E55F1B"/>
    <w:rsid w:val="00E713E8"/>
    <w:rsid w:val="00E95647"/>
    <w:rsid w:val="00EA1887"/>
    <w:rsid w:val="00EA701A"/>
    <w:rsid w:val="00EE145B"/>
    <w:rsid w:val="00EE2EE1"/>
    <w:rsid w:val="00EE32A5"/>
    <w:rsid w:val="00EF4067"/>
    <w:rsid w:val="00F005A3"/>
    <w:rsid w:val="00F005D1"/>
    <w:rsid w:val="00F045F4"/>
    <w:rsid w:val="00F11FCC"/>
    <w:rsid w:val="00F27CB3"/>
    <w:rsid w:val="00F31300"/>
    <w:rsid w:val="00F31807"/>
    <w:rsid w:val="00F32D42"/>
    <w:rsid w:val="00F34A35"/>
    <w:rsid w:val="00F37060"/>
    <w:rsid w:val="00F5350E"/>
    <w:rsid w:val="00F61A2E"/>
    <w:rsid w:val="00F63C57"/>
    <w:rsid w:val="00F659BF"/>
    <w:rsid w:val="00F65F86"/>
    <w:rsid w:val="00F67182"/>
    <w:rsid w:val="00F70096"/>
    <w:rsid w:val="00F73EC2"/>
    <w:rsid w:val="00F74737"/>
    <w:rsid w:val="00FA159A"/>
    <w:rsid w:val="00FA5778"/>
    <w:rsid w:val="00FB0A9A"/>
    <w:rsid w:val="00FE109B"/>
    <w:rsid w:val="00FE4EA4"/>
    <w:rsid w:val="00FE7680"/>
    <w:rsid w:val="00FF2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23A1"/>
  <w15:docId w15:val="{0C41188D-914A-42F9-ABDE-69E906B6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after="240"/>
      <w:ind w:right="720"/>
    </w:pPr>
  </w:style>
  <w:style w:type="paragraph" w:styleId="Brdtekst2">
    <w:name w:val="Body Text 2"/>
    <w:basedOn w:val="Normal"/>
    <w:rPr>
      <w:b/>
      <w:bCs/>
      <w:sz w:val="28"/>
      <w:lang w:val="en-GB"/>
    </w:rPr>
  </w:style>
  <w:style w:type="paragraph" w:styleId="Tittel">
    <w:name w:val="Title"/>
    <w:basedOn w:val="Normal"/>
    <w:qFormat/>
    <w:pPr>
      <w:jc w:val="center"/>
    </w:pPr>
    <w:rPr>
      <w:b/>
      <w:bCs/>
      <w:sz w:val="32"/>
    </w:rPr>
  </w:style>
  <w:style w:type="character" w:styleId="Hyperkobling">
    <w:name w:val="Hyperlink"/>
    <w:rsid w:val="003D2E92"/>
    <w:rPr>
      <w:color w:val="0000FF"/>
      <w:u w:val="single"/>
    </w:rPr>
  </w:style>
  <w:style w:type="paragraph" w:customStyle="1" w:styleId="Lysliste-uthevingsfarge51">
    <w:name w:val="Lys liste - uthevingsfarge 51"/>
    <w:basedOn w:val="Normal"/>
    <w:qFormat/>
    <w:rsid w:val="00423D1A"/>
    <w:pPr>
      <w:ind w:left="720" w:hanging="357"/>
    </w:pPr>
    <w:rPr>
      <w:rFonts w:ascii="Calibri" w:eastAsia="Calibri" w:hAnsi="Calibri" w:cs="Calibri"/>
      <w:sz w:val="22"/>
      <w:szCs w:val="22"/>
      <w:lang w:eastAsia="en-US"/>
    </w:rPr>
  </w:style>
  <w:style w:type="paragraph" w:styleId="Bobletekst">
    <w:name w:val="Balloon Text"/>
    <w:basedOn w:val="Normal"/>
    <w:link w:val="BobletekstTegn"/>
    <w:rsid w:val="008104CE"/>
    <w:rPr>
      <w:rFonts w:ascii="Tahoma" w:hAnsi="Tahoma"/>
      <w:sz w:val="16"/>
      <w:szCs w:val="16"/>
      <w:lang w:val="x-none" w:eastAsia="x-none"/>
    </w:rPr>
  </w:style>
  <w:style w:type="character" w:customStyle="1" w:styleId="BobletekstTegn">
    <w:name w:val="Bobletekst Tegn"/>
    <w:link w:val="Bobletekst"/>
    <w:rsid w:val="008104CE"/>
    <w:rPr>
      <w:rFonts w:ascii="Tahoma" w:hAnsi="Tahoma" w:cs="Tahoma"/>
      <w:sz w:val="16"/>
      <w:szCs w:val="16"/>
    </w:rPr>
  </w:style>
  <w:style w:type="character" w:styleId="Fulgthyperkobling">
    <w:name w:val="FollowedHyperlink"/>
    <w:rsid w:val="004D7016"/>
    <w:rPr>
      <w:color w:val="800080"/>
      <w:u w:val="single"/>
    </w:rPr>
  </w:style>
  <w:style w:type="character" w:styleId="Merknadsreferanse">
    <w:name w:val="annotation reference"/>
    <w:rsid w:val="00E713E8"/>
    <w:rPr>
      <w:sz w:val="18"/>
      <w:szCs w:val="18"/>
    </w:rPr>
  </w:style>
  <w:style w:type="paragraph" w:styleId="Merknadstekst">
    <w:name w:val="annotation text"/>
    <w:basedOn w:val="Normal"/>
    <w:link w:val="MerknadstekstTegn"/>
    <w:rsid w:val="00E713E8"/>
    <w:rPr>
      <w:lang w:val="x-none"/>
    </w:rPr>
  </w:style>
  <w:style w:type="character" w:customStyle="1" w:styleId="MerknadstekstTegn">
    <w:name w:val="Merknadstekst Tegn"/>
    <w:link w:val="Merknadstekst"/>
    <w:rsid w:val="00E713E8"/>
    <w:rPr>
      <w:sz w:val="24"/>
      <w:szCs w:val="24"/>
      <w:lang w:eastAsia="nb-NO"/>
    </w:rPr>
  </w:style>
  <w:style w:type="paragraph" w:styleId="Kommentaremne">
    <w:name w:val="annotation subject"/>
    <w:basedOn w:val="Merknadstekst"/>
    <w:next w:val="Merknadstekst"/>
    <w:link w:val="KommentaremneTegn"/>
    <w:rsid w:val="00E713E8"/>
    <w:rPr>
      <w:b/>
      <w:bCs/>
    </w:rPr>
  </w:style>
  <w:style w:type="character" w:customStyle="1" w:styleId="KommentaremneTegn">
    <w:name w:val="Kommentaremne Tegn"/>
    <w:link w:val="Kommentaremne"/>
    <w:rsid w:val="00E713E8"/>
    <w:rPr>
      <w:b/>
      <w:bCs/>
      <w:sz w:val="24"/>
      <w:szCs w:val="24"/>
      <w:lang w:eastAsia="nb-NO"/>
    </w:rPr>
  </w:style>
  <w:style w:type="paragraph" w:customStyle="1" w:styleId="Middelsliste1-uthevingsfarge41">
    <w:name w:val="Middels liste 1 - uthevingsfarge 41"/>
    <w:hidden/>
    <w:uiPriority w:val="71"/>
    <w:rsid w:val="00E713E8"/>
    <w:rPr>
      <w:sz w:val="24"/>
      <w:szCs w:val="24"/>
    </w:rPr>
  </w:style>
  <w:style w:type="paragraph" w:customStyle="1" w:styleId="Mrkliste-uthevingsfarge31">
    <w:name w:val="Mørk liste - uthevingsfarge 31"/>
    <w:hidden/>
    <w:uiPriority w:val="71"/>
    <w:rsid w:val="00CD7129"/>
    <w:rPr>
      <w:sz w:val="24"/>
      <w:szCs w:val="24"/>
    </w:rPr>
  </w:style>
  <w:style w:type="paragraph" w:styleId="NormalWeb">
    <w:name w:val="Normal (Web)"/>
    <w:basedOn w:val="Normal"/>
    <w:uiPriority w:val="99"/>
    <w:unhideWhenUsed/>
    <w:rsid w:val="0085600B"/>
    <w:pPr>
      <w:spacing w:before="100" w:beforeAutospacing="1" w:after="100" w:afterAutospacing="1"/>
    </w:pPr>
    <w:rPr>
      <w:rFonts w:ascii="Times" w:hAnsi="Times"/>
      <w:sz w:val="20"/>
      <w:szCs w:val="20"/>
      <w:lang w:eastAsia="en-US"/>
    </w:rPr>
  </w:style>
  <w:style w:type="paragraph" w:customStyle="1" w:styleId="Lyslisteuthevingsfarge31">
    <w:name w:val="Lys liste – uthevingsfarge 31"/>
    <w:hidden/>
    <w:uiPriority w:val="71"/>
    <w:rsid w:val="00D26AE0"/>
    <w:rPr>
      <w:sz w:val="24"/>
      <w:szCs w:val="24"/>
    </w:rPr>
  </w:style>
  <w:style w:type="paragraph" w:customStyle="1" w:styleId="Middelsliste2-uthevingsfarge21">
    <w:name w:val="Middels liste 2 - uthevingsfarge 21"/>
    <w:hidden/>
    <w:uiPriority w:val="71"/>
    <w:rsid w:val="00C947EF"/>
    <w:rPr>
      <w:sz w:val="24"/>
      <w:szCs w:val="24"/>
    </w:rPr>
  </w:style>
  <w:style w:type="character" w:customStyle="1" w:styleId="Ulstomtale1">
    <w:name w:val="Uløst omtale1"/>
    <w:uiPriority w:val="99"/>
    <w:semiHidden/>
    <w:unhideWhenUsed/>
    <w:rsid w:val="00551C43"/>
    <w:rPr>
      <w:color w:val="605E5C"/>
      <w:shd w:val="clear" w:color="auto" w:fill="E1DFDD"/>
    </w:rPr>
  </w:style>
  <w:style w:type="character" w:styleId="Utheving">
    <w:name w:val="Emphasis"/>
    <w:uiPriority w:val="20"/>
    <w:qFormat/>
    <w:rsid w:val="00794CDC"/>
    <w:rPr>
      <w:i/>
      <w:iCs/>
    </w:rPr>
  </w:style>
  <w:style w:type="character" w:customStyle="1" w:styleId="docsum-journal-citation">
    <w:name w:val="docsum-journal-citation"/>
    <w:basedOn w:val="Standardskriftforavsnitt"/>
    <w:rsid w:val="0020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18440">
      <w:bodyDiv w:val="1"/>
      <w:marLeft w:val="0"/>
      <w:marRight w:val="0"/>
      <w:marTop w:val="0"/>
      <w:marBottom w:val="0"/>
      <w:divBdr>
        <w:top w:val="none" w:sz="0" w:space="0" w:color="auto"/>
        <w:left w:val="none" w:sz="0" w:space="0" w:color="auto"/>
        <w:bottom w:val="none" w:sz="0" w:space="0" w:color="auto"/>
        <w:right w:val="none" w:sz="0" w:space="0" w:color="auto"/>
      </w:divBdr>
      <w:divsChild>
        <w:div w:id="518007064">
          <w:marLeft w:val="0"/>
          <w:marRight w:val="0"/>
          <w:marTop w:val="0"/>
          <w:marBottom w:val="0"/>
          <w:divBdr>
            <w:top w:val="none" w:sz="0" w:space="0" w:color="auto"/>
            <w:left w:val="none" w:sz="0" w:space="0" w:color="auto"/>
            <w:bottom w:val="none" w:sz="0" w:space="0" w:color="auto"/>
            <w:right w:val="none" w:sz="0" w:space="0" w:color="auto"/>
          </w:divBdr>
          <w:divsChild>
            <w:div w:id="978804366">
              <w:marLeft w:val="0"/>
              <w:marRight w:val="0"/>
              <w:marTop w:val="0"/>
              <w:marBottom w:val="0"/>
              <w:divBdr>
                <w:top w:val="none" w:sz="0" w:space="0" w:color="auto"/>
                <w:left w:val="none" w:sz="0" w:space="0" w:color="auto"/>
                <w:bottom w:val="none" w:sz="0" w:space="0" w:color="auto"/>
                <w:right w:val="none" w:sz="0" w:space="0" w:color="auto"/>
              </w:divBdr>
              <w:divsChild>
                <w:div w:id="1223950507">
                  <w:marLeft w:val="0"/>
                  <w:marRight w:val="0"/>
                  <w:marTop w:val="0"/>
                  <w:marBottom w:val="0"/>
                  <w:divBdr>
                    <w:top w:val="none" w:sz="0" w:space="0" w:color="auto"/>
                    <w:left w:val="none" w:sz="0" w:space="0" w:color="auto"/>
                    <w:bottom w:val="none" w:sz="0" w:space="0" w:color="auto"/>
                    <w:right w:val="none" w:sz="0" w:space="0" w:color="auto"/>
                  </w:divBdr>
                  <w:divsChild>
                    <w:div w:id="1543250695">
                      <w:marLeft w:val="0"/>
                      <w:marRight w:val="0"/>
                      <w:marTop w:val="0"/>
                      <w:marBottom w:val="0"/>
                      <w:divBdr>
                        <w:top w:val="none" w:sz="0" w:space="0" w:color="auto"/>
                        <w:left w:val="none" w:sz="0" w:space="0" w:color="auto"/>
                        <w:bottom w:val="none" w:sz="0" w:space="0" w:color="auto"/>
                        <w:right w:val="none" w:sz="0" w:space="0" w:color="auto"/>
                      </w:divBdr>
                      <w:divsChild>
                        <w:div w:id="116684047">
                          <w:marLeft w:val="0"/>
                          <w:marRight w:val="0"/>
                          <w:marTop w:val="0"/>
                          <w:marBottom w:val="0"/>
                          <w:divBdr>
                            <w:top w:val="none" w:sz="0" w:space="0" w:color="auto"/>
                            <w:left w:val="none" w:sz="0" w:space="0" w:color="auto"/>
                            <w:bottom w:val="none" w:sz="0" w:space="0" w:color="auto"/>
                            <w:right w:val="none" w:sz="0" w:space="0" w:color="auto"/>
                          </w:divBdr>
                          <w:divsChild>
                            <w:div w:id="2132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72072">
      <w:bodyDiv w:val="1"/>
      <w:marLeft w:val="0"/>
      <w:marRight w:val="0"/>
      <w:marTop w:val="0"/>
      <w:marBottom w:val="0"/>
      <w:divBdr>
        <w:top w:val="none" w:sz="0" w:space="0" w:color="auto"/>
        <w:left w:val="none" w:sz="0" w:space="0" w:color="auto"/>
        <w:bottom w:val="none" w:sz="0" w:space="0" w:color="auto"/>
        <w:right w:val="none" w:sz="0" w:space="0" w:color="auto"/>
      </w:divBdr>
      <w:divsChild>
        <w:div w:id="995912062">
          <w:marLeft w:val="0"/>
          <w:marRight w:val="0"/>
          <w:marTop w:val="0"/>
          <w:marBottom w:val="0"/>
          <w:divBdr>
            <w:top w:val="none" w:sz="0" w:space="0" w:color="auto"/>
            <w:left w:val="none" w:sz="0" w:space="0" w:color="auto"/>
            <w:bottom w:val="none" w:sz="0" w:space="0" w:color="auto"/>
            <w:right w:val="none" w:sz="0" w:space="0" w:color="auto"/>
          </w:divBdr>
          <w:divsChild>
            <w:div w:id="741566106">
              <w:marLeft w:val="0"/>
              <w:marRight w:val="0"/>
              <w:marTop w:val="0"/>
              <w:marBottom w:val="0"/>
              <w:divBdr>
                <w:top w:val="none" w:sz="0" w:space="0" w:color="auto"/>
                <w:left w:val="none" w:sz="0" w:space="0" w:color="auto"/>
                <w:bottom w:val="none" w:sz="0" w:space="0" w:color="auto"/>
                <w:right w:val="none" w:sz="0" w:space="0" w:color="auto"/>
              </w:divBdr>
              <w:divsChild>
                <w:div w:id="753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0485">
      <w:bodyDiv w:val="1"/>
      <w:marLeft w:val="0"/>
      <w:marRight w:val="0"/>
      <w:marTop w:val="0"/>
      <w:marBottom w:val="0"/>
      <w:divBdr>
        <w:top w:val="none" w:sz="0" w:space="0" w:color="auto"/>
        <w:left w:val="none" w:sz="0" w:space="0" w:color="auto"/>
        <w:bottom w:val="none" w:sz="0" w:space="0" w:color="auto"/>
        <w:right w:val="none" w:sz="0" w:space="0" w:color="auto"/>
      </w:divBdr>
      <w:divsChild>
        <w:div w:id="827942918">
          <w:marLeft w:val="0"/>
          <w:marRight w:val="0"/>
          <w:marTop w:val="0"/>
          <w:marBottom w:val="0"/>
          <w:divBdr>
            <w:top w:val="none" w:sz="0" w:space="0" w:color="auto"/>
            <w:left w:val="none" w:sz="0" w:space="0" w:color="auto"/>
            <w:bottom w:val="none" w:sz="0" w:space="0" w:color="auto"/>
            <w:right w:val="none" w:sz="0" w:space="0" w:color="auto"/>
          </w:divBdr>
          <w:divsChild>
            <w:div w:id="207226091">
              <w:marLeft w:val="0"/>
              <w:marRight w:val="0"/>
              <w:marTop w:val="0"/>
              <w:marBottom w:val="0"/>
              <w:divBdr>
                <w:top w:val="none" w:sz="0" w:space="0" w:color="auto"/>
                <w:left w:val="none" w:sz="0" w:space="0" w:color="auto"/>
                <w:bottom w:val="none" w:sz="0" w:space="0" w:color="auto"/>
                <w:right w:val="none" w:sz="0" w:space="0" w:color="auto"/>
              </w:divBdr>
              <w:divsChild>
                <w:div w:id="1378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cardio.org/Guidelines/Clinical-Practice-Guidelines/Atrial-Fibrillation-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anfinse\Local%20Settings\Temporary%20Internet%20Files\Content.Outlook\T2ARZMKE\Kvalitetsutvalgsvurd%20mal%200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736B-08B2-432F-BBB0-15B81568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Kvalitetsutvalgsvurd mal 09.dot</Template>
  <TotalTime>1</TotalTime>
  <Pages>5</Pages>
  <Words>2383</Words>
  <Characters>12631</Characters>
  <Application>Microsoft Office Word</Application>
  <DocSecurity>0</DocSecurity>
  <Lines>105</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Retningslinjenes tittel, årstall</vt:lpstr>
      <vt:lpstr>Retningslinjenes tittel, årstall</vt:lpstr>
    </vt:vector>
  </TitlesOfParts>
  <Company>Unknown Organization</Company>
  <LinksUpToDate>false</LinksUpToDate>
  <CharactersWithSpaces>14985</CharactersWithSpaces>
  <SharedDoc>false</SharedDoc>
  <HLinks>
    <vt:vector size="6" baseType="variant">
      <vt:variant>
        <vt:i4>2490412</vt:i4>
      </vt:variant>
      <vt:variant>
        <vt:i4>0</vt:i4>
      </vt:variant>
      <vt:variant>
        <vt:i4>0</vt:i4>
      </vt:variant>
      <vt:variant>
        <vt:i4>5</vt:i4>
      </vt:variant>
      <vt:variant>
        <vt:lpwstr>https://www.escardio.org/Guidelines/Clinical-Practice-Guidelines/Syncope-Guidelines-on-Diagnosis-and-Management-of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Retningslinjenes tittel, årstall</dc:title>
  <dc:creator>oanfinse</dc:creator>
  <cp:lastModifiedBy>Olaf</cp:lastModifiedBy>
  <cp:revision>2</cp:revision>
  <cp:lastPrinted>1900-12-31T23:00:00Z</cp:lastPrinted>
  <dcterms:created xsi:type="dcterms:W3CDTF">2021-03-27T11:19:00Z</dcterms:created>
  <dcterms:modified xsi:type="dcterms:W3CDTF">2021-03-27T11:19:00Z</dcterms:modified>
</cp:coreProperties>
</file>